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A2C4" w14:textId="77777777" w:rsidR="00B1649D" w:rsidRPr="00F57054" w:rsidRDefault="00B1649D" w:rsidP="00B1649D">
      <w:pPr>
        <w:spacing w:after="240"/>
        <w:rPr>
          <w:rFonts w:cs="Arial"/>
          <w:b/>
          <w:color w:val="000000" w:themeColor="text1"/>
          <w:sz w:val="24"/>
        </w:rPr>
      </w:pPr>
      <w:r w:rsidRPr="00F57054">
        <w:rPr>
          <w:rFonts w:cs="Arial"/>
          <w:b/>
          <w:color w:val="000000" w:themeColor="text1"/>
          <w:sz w:val="24"/>
        </w:rPr>
        <w:t>The practice behaviours of expert League of Legends players: An exploratory study</w:t>
      </w:r>
    </w:p>
    <w:p w14:paraId="2EB1F7D8" w14:textId="77777777" w:rsidR="00B1649D" w:rsidRPr="00BA1C98" w:rsidRDefault="00B1649D" w:rsidP="00B1649D">
      <w:pPr>
        <w:rPr>
          <w:rFonts w:cs="Arial"/>
          <w:color w:val="000000" w:themeColor="text1"/>
          <w:vertAlign w:val="superscript"/>
        </w:rPr>
      </w:pPr>
      <w:r w:rsidRPr="00BA1C98">
        <w:rPr>
          <w:rFonts w:cs="Arial"/>
          <w:color w:val="000000" w:themeColor="text1"/>
        </w:rPr>
        <w:t xml:space="preserve">Kyle J.M. Bennett </w:t>
      </w:r>
      <w:r w:rsidRPr="00BA1C98">
        <w:rPr>
          <w:rFonts w:cs="Arial"/>
          <w:color w:val="000000" w:themeColor="text1"/>
          <w:vertAlign w:val="superscript"/>
        </w:rPr>
        <w:t>a*</w:t>
      </w:r>
      <w:r>
        <w:rPr>
          <w:rFonts w:cs="Arial"/>
          <w:color w:val="000000" w:themeColor="text1"/>
        </w:rPr>
        <w:t xml:space="preserve">, Dylan R Poulus </w:t>
      </w:r>
      <w:r>
        <w:rPr>
          <w:rFonts w:cs="Arial"/>
          <w:color w:val="000000" w:themeColor="text1"/>
          <w:vertAlign w:val="superscript"/>
        </w:rPr>
        <w:t>a</w:t>
      </w:r>
      <w:r>
        <w:rPr>
          <w:rFonts w:cs="Arial"/>
          <w:color w:val="000000" w:themeColor="text1"/>
        </w:rPr>
        <w:t>, &amp;</w:t>
      </w:r>
      <w:r w:rsidRPr="00FA4D14">
        <w:rPr>
          <w:rFonts w:cs="Arial"/>
          <w:color w:val="000000" w:themeColor="text1"/>
        </w:rPr>
        <w:t xml:space="preserve"> </w:t>
      </w:r>
      <w:r>
        <w:rPr>
          <w:rFonts w:cs="Arial"/>
          <w:color w:val="000000" w:themeColor="text1"/>
        </w:rPr>
        <w:t xml:space="preserve">Andrew R Novak </w:t>
      </w:r>
      <w:r>
        <w:rPr>
          <w:rFonts w:cs="Arial"/>
          <w:color w:val="000000" w:themeColor="text1"/>
          <w:vertAlign w:val="superscript"/>
        </w:rPr>
        <w:t>b</w:t>
      </w:r>
    </w:p>
    <w:p w14:paraId="7C7DED9C" w14:textId="77777777" w:rsidR="00B1649D" w:rsidRPr="00951B6F" w:rsidRDefault="00B1649D" w:rsidP="00B1649D">
      <w:pPr>
        <w:spacing w:after="240"/>
        <w:rPr>
          <w:rFonts w:cs="Arial"/>
          <w:i/>
          <w:color w:val="000000" w:themeColor="text1"/>
        </w:rPr>
      </w:pPr>
      <w:r w:rsidRPr="00BA1C98">
        <w:rPr>
          <w:rFonts w:cs="Arial"/>
          <w:i/>
          <w:color w:val="000000" w:themeColor="text1"/>
          <w:vertAlign w:val="superscript"/>
        </w:rPr>
        <w:t xml:space="preserve">a </w:t>
      </w:r>
      <w:r w:rsidRPr="00BA1C98">
        <w:rPr>
          <w:rFonts w:cs="Arial"/>
          <w:i/>
          <w:color w:val="000000" w:themeColor="text1"/>
        </w:rPr>
        <w:t xml:space="preserve">Physical Activity, Sport and Exercise Research Theme, Faculty of Health, Southern Cross University, Coffs Harbour, Australia. </w:t>
      </w:r>
      <w:r w:rsidRPr="00BA1C98">
        <w:rPr>
          <w:rFonts w:cs="Arial"/>
          <w:i/>
          <w:color w:val="000000" w:themeColor="text1"/>
          <w:vertAlign w:val="superscript"/>
        </w:rPr>
        <w:t>b</w:t>
      </w:r>
      <w:r w:rsidRPr="00BA1C98">
        <w:rPr>
          <w:rFonts w:cs="Arial"/>
          <w:i/>
          <w:color w:val="000000" w:themeColor="text1"/>
        </w:rPr>
        <w:t xml:space="preserve"> Human Performance Research Centre, School of Sport, Exercise, and Rehabilitation, Faculty of Health, University of Technology Sydney, Moore Park, Australia. </w:t>
      </w:r>
      <w:r>
        <w:rPr>
          <w:rFonts w:cs="Arial"/>
          <w:i/>
          <w:color w:val="000000" w:themeColor="text1"/>
        </w:rPr>
        <w:t xml:space="preserve"> </w:t>
      </w:r>
    </w:p>
    <w:p w14:paraId="06117934" w14:textId="77777777" w:rsidR="00B1649D" w:rsidRPr="00BA1C98" w:rsidRDefault="00B1649D" w:rsidP="00B1649D">
      <w:pPr>
        <w:rPr>
          <w:rFonts w:cs="Arial"/>
          <w:color w:val="000000" w:themeColor="text1"/>
        </w:rPr>
      </w:pPr>
      <w:r w:rsidRPr="00BA1C98">
        <w:rPr>
          <w:rFonts w:cs="Arial"/>
          <w:color w:val="000000" w:themeColor="text1"/>
        </w:rPr>
        <w:t xml:space="preserve">*Corresponding author: </w:t>
      </w:r>
    </w:p>
    <w:p w14:paraId="6763795C" w14:textId="77777777" w:rsidR="00B1649D" w:rsidRDefault="00B1649D" w:rsidP="00B1649D">
      <w:pPr>
        <w:spacing w:after="240"/>
        <w:rPr>
          <w:rFonts w:cs="Arial"/>
          <w:color w:val="000000" w:themeColor="text1"/>
        </w:rPr>
      </w:pPr>
      <w:r w:rsidRPr="00BA1C98">
        <w:rPr>
          <w:rFonts w:cs="Arial"/>
          <w:color w:val="000000" w:themeColor="text1"/>
        </w:rPr>
        <w:t>Kyle J.M. Bennett</w:t>
      </w:r>
      <w:r>
        <w:rPr>
          <w:rFonts w:cs="Arial"/>
          <w:color w:val="000000" w:themeColor="text1"/>
        </w:rPr>
        <w:t xml:space="preserve">. </w:t>
      </w:r>
      <w:r w:rsidRPr="00BA1C98">
        <w:rPr>
          <w:rFonts w:cs="Arial"/>
          <w:color w:val="000000" w:themeColor="text1"/>
        </w:rPr>
        <w:t>Southern Cross University</w:t>
      </w:r>
      <w:r>
        <w:rPr>
          <w:rFonts w:cs="Arial"/>
          <w:color w:val="000000" w:themeColor="text1"/>
        </w:rPr>
        <w:t xml:space="preserve">. </w:t>
      </w:r>
      <w:r w:rsidRPr="00BA1C98">
        <w:rPr>
          <w:rFonts w:cs="Arial"/>
          <w:color w:val="000000" w:themeColor="text1"/>
        </w:rPr>
        <w:t>Hogbin Drive, Coffs Harbour</w:t>
      </w:r>
      <w:r>
        <w:rPr>
          <w:rFonts w:cs="Arial"/>
          <w:color w:val="000000" w:themeColor="text1"/>
        </w:rPr>
        <w:t>,</w:t>
      </w:r>
      <w:r w:rsidRPr="00BA1C98">
        <w:rPr>
          <w:rFonts w:cs="Arial"/>
          <w:color w:val="000000" w:themeColor="text1"/>
        </w:rPr>
        <w:t xml:space="preserve"> NSW</w:t>
      </w:r>
      <w:r>
        <w:rPr>
          <w:rFonts w:cs="Arial"/>
          <w:color w:val="000000" w:themeColor="text1"/>
        </w:rPr>
        <w:t>,</w:t>
      </w:r>
      <w:r w:rsidRPr="00BA1C98">
        <w:rPr>
          <w:rFonts w:cs="Arial"/>
          <w:color w:val="000000" w:themeColor="text1"/>
        </w:rPr>
        <w:t xml:space="preserve"> 2450</w:t>
      </w:r>
      <w:r>
        <w:rPr>
          <w:rFonts w:cs="Arial"/>
          <w:color w:val="000000" w:themeColor="text1"/>
        </w:rPr>
        <w:t>.</w:t>
      </w:r>
      <w:r w:rsidRPr="00BA1C98">
        <w:rPr>
          <w:rFonts w:cs="Arial"/>
          <w:color w:val="000000" w:themeColor="text1"/>
        </w:rPr>
        <w:br/>
      </w:r>
      <w:hyperlink r:id="rId7" w:history="1">
        <w:r w:rsidRPr="00BA1C98">
          <w:rPr>
            <w:rStyle w:val="Hyperlink"/>
            <w:rFonts w:cs="Arial"/>
            <w:color w:val="000000" w:themeColor="text1"/>
          </w:rPr>
          <w:t>Kyle.Bennett@scu.edu.au</w:t>
        </w:r>
      </w:hyperlink>
      <w:r w:rsidRPr="00BA1C98">
        <w:rPr>
          <w:rFonts w:cs="Arial"/>
          <w:color w:val="000000" w:themeColor="text1"/>
        </w:rPr>
        <w:t xml:space="preserve"> </w:t>
      </w:r>
    </w:p>
    <w:p w14:paraId="5D1D4884" w14:textId="77777777" w:rsidR="00EE248D" w:rsidRDefault="002031C4" w:rsidP="00B1649D">
      <w:pPr>
        <w:spacing w:after="160"/>
        <w:rPr>
          <w:rFonts w:cs="Arial"/>
          <w:color w:val="000000" w:themeColor="text1"/>
        </w:rPr>
      </w:pPr>
      <w:r>
        <w:rPr>
          <w:rFonts w:cs="Arial"/>
          <w:color w:val="000000" w:themeColor="text1"/>
        </w:rPr>
        <w:t xml:space="preserve">Please cite this article as Bennett, K.J.M., Poulus, D.R., &amp; Novak, A.R. (2024). The practice behaviours of expert League of Legends players: An exploratory study. </w:t>
      </w:r>
      <w:r w:rsidR="00EE248D">
        <w:rPr>
          <w:rFonts w:cs="Arial"/>
          <w:i/>
          <w:iCs/>
          <w:color w:val="000000" w:themeColor="text1"/>
        </w:rPr>
        <w:t>Sportrxiv</w:t>
      </w:r>
      <w:r w:rsidR="00EE248D">
        <w:rPr>
          <w:rFonts w:cs="Arial"/>
          <w:color w:val="000000" w:themeColor="text1"/>
        </w:rPr>
        <w:t xml:space="preserve">. </w:t>
      </w:r>
    </w:p>
    <w:p w14:paraId="2F093500" w14:textId="77777777" w:rsidR="00EE248D" w:rsidRDefault="00EE248D" w:rsidP="00EE248D">
      <w:pPr>
        <w:spacing w:before="120"/>
        <w:rPr>
          <w:rFonts w:cs="Arial"/>
          <w:b/>
          <w:bCs/>
          <w:color w:val="000000" w:themeColor="text1"/>
          <w:sz w:val="24"/>
          <w:szCs w:val="24"/>
          <w:lang w:val="de-DE"/>
        </w:rPr>
      </w:pPr>
      <w:r>
        <w:rPr>
          <w:rFonts w:cs="Arial"/>
          <w:b/>
          <w:bCs/>
          <w:color w:val="000000" w:themeColor="text1"/>
          <w:sz w:val="24"/>
          <w:szCs w:val="24"/>
          <w:lang w:val="de-DE"/>
        </w:rPr>
        <w:t>Acknowledgements</w:t>
      </w:r>
    </w:p>
    <w:p w14:paraId="1A40F283" w14:textId="51BBC136" w:rsidR="00B1649D" w:rsidRPr="00EE248D" w:rsidRDefault="00EE248D" w:rsidP="00EE248D">
      <w:pPr>
        <w:spacing w:after="240"/>
        <w:rPr>
          <w:rFonts w:cs="Arial"/>
          <w:color w:val="000000" w:themeColor="text1"/>
          <w:lang w:val="de-DE"/>
        </w:rPr>
      </w:pPr>
      <w:r w:rsidRPr="00F57054">
        <w:rPr>
          <w:rFonts w:cs="Arial"/>
          <w:color w:val="000000" w:themeColor="text1"/>
          <w:lang w:val="de-DE"/>
        </w:rPr>
        <w:t xml:space="preserve">We thank Riot Games for providing us access to their application programming interface. </w:t>
      </w:r>
      <w:r w:rsidR="00B1649D">
        <w:rPr>
          <w:rFonts w:cs="Arial"/>
          <w:color w:val="000000" w:themeColor="text1"/>
        </w:rPr>
        <w:br w:type="page"/>
      </w:r>
    </w:p>
    <w:p w14:paraId="7214FC47" w14:textId="31C46233" w:rsidR="00B1649D" w:rsidRPr="00BA1C98" w:rsidRDefault="00B1649D" w:rsidP="00B1649D">
      <w:pPr>
        <w:pStyle w:val="Heading1"/>
      </w:pPr>
      <w:r w:rsidRPr="00BA1C98">
        <w:lastRenderedPageBreak/>
        <w:t>Abstract</w:t>
      </w:r>
    </w:p>
    <w:p w14:paraId="2A1F1553" w14:textId="77777777" w:rsidR="00B1649D" w:rsidRDefault="00B1649D" w:rsidP="00B1649D">
      <w:pPr>
        <w:rPr>
          <w:rFonts w:cs="Arial"/>
          <w:color w:val="000000" w:themeColor="text1"/>
          <w:szCs w:val="24"/>
        </w:rPr>
      </w:pPr>
      <w:r>
        <w:rPr>
          <w:rFonts w:cs="Arial"/>
          <w:color w:val="000000" w:themeColor="text1"/>
          <w:szCs w:val="24"/>
        </w:rPr>
        <w:t>Esports has garnered substantial academic interest in the last decade as an expertise domain and professional pursuit; however, scientific investigations exploring players' practice behaviours in different esports genres and games are still scarce. Therefore, the current exploratory study aimed to address this knowledge gap. We sourced data from Riot Game's Application Programming Interface. The sample included randomly selected League of Legends players (n = 913) from four tiers (i.e. Challenger, Grandmaster, Master, and Emerald I) and eight servers (relatively large = N</w:t>
      </w:r>
      <w:r w:rsidRPr="0050469A">
        <w:rPr>
          <w:rFonts w:cs="Arial"/>
          <w:color w:val="000000" w:themeColor="text1"/>
          <w:szCs w:val="24"/>
        </w:rPr>
        <w:t>orth America, Korea, Europe West, and Vietnam</w:t>
      </w:r>
      <w:r>
        <w:rPr>
          <w:rFonts w:cs="Arial"/>
          <w:color w:val="000000" w:themeColor="text1"/>
          <w:szCs w:val="24"/>
        </w:rPr>
        <w:t xml:space="preserve">; relatively small = </w:t>
      </w:r>
      <w:r w:rsidRPr="00874390">
        <w:rPr>
          <w:rFonts w:cs="Arial"/>
          <w:color w:val="000000" w:themeColor="text1"/>
          <w:szCs w:val="24"/>
        </w:rPr>
        <w:t>Brazil, Japan, Russia, and Singapore, Malaysia, and Indonesia</w:t>
      </w:r>
      <w:r>
        <w:rPr>
          <w:rFonts w:cs="Arial"/>
          <w:color w:val="000000" w:themeColor="text1"/>
          <w:szCs w:val="24"/>
        </w:rPr>
        <w:t xml:space="preserve">). We extracted the time and date of players' last 100 matches, which we used to derive additional practice behaviour metrics. Overall, Challenger players had more matches per day, less variability in their total hours, went the fewest days without a match, and had the greatest number of matches in three- and seven-day practice blocks than other tiers. Servers with larger player pools tended to have more daily practice than comparatively smaller servers. We devised several hypotheses, including: (1) the </w:t>
      </w:r>
      <w:r w:rsidRPr="00BE5726">
        <w:rPr>
          <w:rFonts w:cs="Arial"/>
          <w:color w:val="000000" w:themeColor="text1"/>
          <w:szCs w:val="24"/>
        </w:rPr>
        <w:t>volume of solo/due ranked practice is associated with expertise</w:t>
      </w:r>
      <w:r>
        <w:rPr>
          <w:rFonts w:cs="Arial"/>
          <w:color w:val="000000" w:themeColor="text1"/>
          <w:szCs w:val="24"/>
        </w:rPr>
        <w:t xml:space="preserve">, (2) </w:t>
      </w:r>
      <w:r w:rsidRPr="00BE5726">
        <w:rPr>
          <w:rFonts w:cs="Arial"/>
          <w:color w:val="000000" w:themeColor="text1"/>
          <w:szCs w:val="24"/>
        </w:rPr>
        <w:t>more effective stress-coping strategies</w:t>
      </w:r>
      <w:r>
        <w:rPr>
          <w:rFonts w:cs="Arial"/>
          <w:color w:val="000000" w:themeColor="text1"/>
          <w:szCs w:val="24"/>
        </w:rPr>
        <w:t xml:space="preserve"> explain the lower variability in daily practice hours between tiers, (3) </w:t>
      </w:r>
      <w:r w:rsidRPr="00BE5726">
        <w:rPr>
          <w:rFonts w:cs="Arial"/>
          <w:color w:val="000000" w:themeColor="text1"/>
          <w:szCs w:val="24"/>
        </w:rPr>
        <w:t>there is an interrelationship between player pool size, competitiveness, and practice behaviours</w:t>
      </w:r>
      <w:r>
        <w:rPr>
          <w:rFonts w:cs="Arial"/>
          <w:color w:val="000000" w:themeColor="text1"/>
          <w:szCs w:val="24"/>
        </w:rPr>
        <w:t xml:space="preserve">, and (4) </w:t>
      </w:r>
      <w:r w:rsidRPr="00BE5726">
        <w:rPr>
          <w:rFonts w:cs="Arial"/>
          <w:color w:val="000000" w:themeColor="text1"/>
          <w:szCs w:val="24"/>
        </w:rPr>
        <w:t>there are distinct patterns of practice that promote sustained participation and prolonged disengagement</w:t>
      </w:r>
      <w:r>
        <w:rPr>
          <w:rFonts w:cs="Arial"/>
          <w:color w:val="000000" w:themeColor="text1"/>
          <w:szCs w:val="24"/>
        </w:rPr>
        <w:t xml:space="preserve">. Future research using confirmatory methods should test our hypotheses to improve our understanding of esports practice behaviours. </w:t>
      </w:r>
    </w:p>
    <w:p w14:paraId="0581C96D" w14:textId="77777777" w:rsidR="00B1649D" w:rsidRDefault="00B1649D" w:rsidP="00B1649D">
      <w:pPr>
        <w:rPr>
          <w:rFonts w:cs="Arial"/>
          <w:b/>
          <w:bCs/>
          <w:color w:val="000000" w:themeColor="text1"/>
          <w:sz w:val="24"/>
          <w:szCs w:val="24"/>
        </w:rPr>
      </w:pPr>
    </w:p>
    <w:p w14:paraId="5F191DE2" w14:textId="77777777" w:rsidR="00B1649D" w:rsidRPr="004E77CA" w:rsidRDefault="00B1649D" w:rsidP="00B1649D">
      <w:pPr>
        <w:rPr>
          <w:rFonts w:cs="Arial"/>
          <w:color w:val="000000" w:themeColor="text1"/>
          <w:szCs w:val="24"/>
        </w:rPr>
      </w:pPr>
      <w:r w:rsidRPr="0041197B">
        <w:rPr>
          <w:rFonts w:cs="Arial"/>
          <w:b/>
          <w:bCs/>
          <w:color w:val="000000" w:themeColor="text1"/>
          <w:sz w:val="24"/>
          <w:szCs w:val="24"/>
        </w:rPr>
        <w:t>Keywords</w:t>
      </w:r>
    </w:p>
    <w:p w14:paraId="0CC88ABF" w14:textId="0015E37E" w:rsidR="00B1649D" w:rsidRDefault="00B1649D" w:rsidP="00B1649D">
      <w:r>
        <w:t xml:space="preserve">Esports, Video Gaming, Ranked, Skilled. </w:t>
      </w:r>
    </w:p>
    <w:p w14:paraId="62C4FE63" w14:textId="77777777" w:rsidR="00B1649D" w:rsidRDefault="00B1649D">
      <w:pPr>
        <w:spacing w:after="160" w:line="259" w:lineRule="auto"/>
      </w:pPr>
      <w:r>
        <w:br w:type="page"/>
      </w:r>
    </w:p>
    <w:p w14:paraId="5430738E" w14:textId="393A4DD4" w:rsidR="00C56968" w:rsidRPr="00BA1C98" w:rsidRDefault="00C56968" w:rsidP="00DA1788">
      <w:pPr>
        <w:pStyle w:val="Heading1"/>
        <w:rPr>
          <w:rFonts w:cs="Arial"/>
          <w:color w:val="000000" w:themeColor="text1"/>
        </w:rPr>
      </w:pPr>
      <w:r w:rsidRPr="00BA1C98">
        <w:rPr>
          <w:rFonts w:cs="Arial"/>
          <w:color w:val="000000" w:themeColor="text1"/>
        </w:rPr>
        <w:lastRenderedPageBreak/>
        <w:t>Introduction</w:t>
      </w:r>
    </w:p>
    <w:p w14:paraId="3D07FC99" w14:textId="4A201794" w:rsidR="000052AC" w:rsidRPr="00D63792" w:rsidRDefault="006462CD" w:rsidP="00CD346E">
      <w:pPr>
        <w:rPr>
          <w:rFonts w:cs="Arial"/>
          <w:color w:val="000000" w:themeColor="text1"/>
        </w:rPr>
      </w:pPr>
      <w:r>
        <w:rPr>
          <w:rFonts w:cs="Arial"/>
          <w:color w:val="000000" w:themeColor="text1"/>
        </w:rPr>
        <w:t>Esports</w:t>
      </w:r>
      <w:r w:rsidR="00A3481C">
        <w:rPr>
          <w:rFonts w:cs="Arial"/>
          <w:color w:val="000000" w:themeColor="text1"/>
        </w:rPr>
        <w:t>, the</w:t>
      </w:r>
      <w:r w:rsidR="000052AC">
        <w:rPr>
          <w:rFonts w:cs="Arial"/>
          <w:color w:val="000000" w:themeColor="text1"/>
        </w:rPr>
        <w:t xml:space="preserve"> </w:t>
      </w:r>
      <w:r w:rsidR="00A3481C" w:rsidRPr="006731E3">
        <w:rPr>
          <w:rFonts w:cs="Arial"/>
          <w:color w:val="000000" w:themeColor="text1"/>
        </w:rPr>
        <w:t xml:space="preserve">playing of </w:t>
      </w:r>
      <w:r w:rsidR="000052AC" w:rsidRPr="006731E3">
        <w:rPr>
          <w:rFonts w:cs="Arial"/>
          <w:color w:val="000000" w:themeColor="text1"/>
        </w:rPr>
        <w:t xml:space="preserve">competitive </w:t>
      </w:r>
      <w:r w:rsidR="00A3481C" w:rsidRPr="006731E3">
        <w:rPr>
          <w:rFonts w:cs="Arial"/>
          <w:color w:val="000000" w:themeColor="text1"/>
        </w:rPr>
        <w:t>video games</w:t>
      </w:r>
      <w:r w:rsidR="006731E3" w:rsidRPr="006731E3">
        <w:rPr>
          <w:rFonts w:cs="Arial"/>
          <w:color w:val="000000" w:themeColor="text1"/>
        </w:rPr>
        <w:t xml:space="preserve"> </w:t>
      </w:r>
      <w:r w:rsidR="00CD346E">
        <w:rPr>
          <w:rFonts w:cs="Arial"/>
          <w:color w:val="000000" w:themeColor="text1"/>
        </w:rPr>
        <w:fldChar w:fldCharType="begin"/>
      </w:r>
      <w:r w:rsidR="00EC10D9">
        <w:rPr>
          <w:rFonts w:cs="Arial"/>
          <w:color w:val="000000" w:themeColor="text1"/>
        </w:rPr>
        <w:instrText xml:space="preserve"> ADDIN ZOTERO_ITEM CSL_CITATION {"citationID":"F2VAUb7T","properties":{"formattedCitation":"(Pedraza-Ramirez et al., 2020)","plainCitation":"(Pedraza-Ramirez et al., 2020)","noteIndex":0},"citationItems":[{"id":"7iWxUWVW/Gg5nr0V3","uris":["http://zotero.org/users/4942072/items/6MMEH4MF"],"itemData":{"id":"MWZyZE7C/fsEiHwGE","type":"article-journal","abstract":"Competitive gaming, better known as electronic sports (esports), is rapidly growing in popularity. We systematically reviewed the available literature regarding the psychological aspects of esports using the Preferred Reporting Items for Systematic Review and Meta-Analysis Protocols (PRISMA-P) evidence-based reporting checklist and a Population, Intervention, Comparator, and Outcomes (PICO) framework with the following inclusion criteria: (i) published between 1994 and 2018; (ii) empirical investigation (as the current state of research is dense with positions and opinions but has few empirical investigations); and (iii) focussed on esports games that are associated with either cognitive performance or game performance. The goal of our research was twofold: to present a summary of the empirical evidence addressing the psychological characteristics of both cognitive and game performance in esports, and to integrate esports in the field of sport psychology. More specifically, our goals were to highlight the interplay of psychological aspects of performance and esports and to clearly define the theoretical foundations of the psychological aspects of esports performance. Underlining the differences from video gaming will inform future research directions and stimulate the development of high-quality practice in the applied field of sports and exercise psychology.","container-title":"International Review of Sport and Exercise Psychology","DOI":"10.1080/1750984X.2020.1723122","ISSN":"1750-984X","issue":"0","page":"1-34","source":"Taylor and Francis+NEJM","title":"Setting the scientific stage for esports psychology: a systematic review","title-short":"Setting the scientific stage for esports psychology","volume":"0","author":[{"family":"Pedraza-Ramirez","given":"Ismael"},{"family":"Musculus","given":"Lisa"},{"family":"Raab","given":"Markus"},{"family":"Laborde","given":"Sylvain"}],"issued":{"date-parts":[["2020",2,10]]}}}],"schema":"https://github.com/citation-style-language/schema/raw/master/csl-citation.json"} </w:instrText>
      </w:r>
      <w:r w:rsidR="00CD346E">
        <w:rPr>
          <w:rFonts w:cs="Arial"/>
          <w:color w:val="000000" w:themeColor="text1"/>
        </w:rPr>
        <w:fldChar w:fldCharType="separate"/>
      </w:r>
      <w:r w:rsidR="00CD346E" w:rsidRPr="00CD346E">
        <w:rPr>
          <w:rFonts w:cs="Arial"/>
        </w:rPr>
        <w:t>(Pedraza-Ramirez et al., 2020)</w:t>
      </w:r>
      <w:r w:rsidR="00CD346E">
        <w:rPr>
          <w:rFonts w:cs="Arial"/>
          <w:color w:val="000000" w:themeColor="text1"/>
        </w:rPr>
        <w:fldChar w:fldCharType="end"/>
      </w:r>
      <w:r w:rsidR="00A3481C" w:rsidRPr="006731E3">
        <w:rPr>
          <w:rFonts w:cs="Arial"/>
          <w:color w:val="000000" w:themeColor="text1"/>
        </w:rPr>
        <w:t>,</w:t>
      </w:r>
      <w:r w:rsidRPr="006731E3">
        <w:rPr>
          <w:rFonts w:cs="Arial"/>
          <w:color w:val="000000" w:themeColor="text1"/>
        </w:rPr>
        <w:t xml:space="preserve"> has </w:t>
      </w:r>
      <w:r w:rsidR="00C764BD" w:rsidRPr="006731E3">
        <w:rPr>
          <w:rFonts w:cs="Arial"/>
          <w:color w:val="000000" w:themeColor="text1"/>
        </w:rPr>
        <w:t>attracted increased scientific attention in recent years</w:t>
      </w:r>
      <w:r w:rsidR="007C2270">
        <w:rPr>
          <w:rFonts w:cs="Arial"/>
          <w:color w:val="000000" w:themeColor="text1"/>
        </w:rPr>
        <w:t xml:space="preserve"> </w:t>
      </w:r>
      <w:r w:rsidR="00A50FC2">
        <w:rPr>
          <w:rFonts w:cs="Arial"/>
          <w:color w:val="000000" w:themeColor="text1"/>
        </w:rPr>
        <w:fldChar w:fldCharType="begin"/>
      </w:r>
      <w:r w:rsidR="00EC10D9">
        <w:rPr>
          <w:rFonts w:cs="Arial"/>
          <w:color w:val="000000" w:themeColor="text1"/>
        </w:rPr>
        <w:instrText xml:space="preserve"> ADDIN ZOTERO_ITEM CSL_CITATION {"citationID":"FqpEVOF0","properties":{"formattedCitation":"(D. R. Poulus, Sharpe, et al., 2024; Reitman et al., 2020)","plainCitation":"(D. R. Poulus, Sharpe, et al., 2024; Reitman et al., 2020)","dontUpdate":true,"noteIndex":0},"citationItems":[{"id":925,"uris":["http://zotero.org/users/13125511/items/KCIY46YE"],"itemData":{"id":925,"type":"article-journal","abstract":"In this scoping review, we aimed to (1) provide clarity on terms used to describe elite esport samples, (2) identify the indicators used to describe elite esport samples, (3) collate rationales provided for defining esports samples as elite, and (4) draw conclusions on how to define elite esport samples. Electronic database and manual searches conducted for the final time in March 2024 yielded 7,802 records. Sixty-three studies published since 2012, with 1,768 e’athletes, satisfied the eligibility criteria and were included in the review. In total, 71% of the studies did not define ‘elite’ when classifying their samples. In the remaining studies, elite esport samples were defined through four categories: (1) highest level of competition, (2) professional status, (3) in-game achievement, and (4) domain experience. Of the 63 studies, 29 classified their samples as elite through one category, and 34 included justifications incorporating two or more categories. We propose a 2-step working elite classification system for esports samples that considers a player's highest level of competition and success at that level. Furthermore, we propose a set of reporting guidelines for elite e'athletes, which encourages researchers to unpack: (1) the success of the e’athletes, and (2) the prominence of the esport. There was a significant incongruity in the terminology used to classify high-level esports samples and inconsistent justifications for why the sample was elite. A 2-step elite classification system for esports samples that considers the player's highest level of competition and success at that level is proposed to help researchers classify their samples. We propose a set of reporting guidelines for elite esport athletes, which advises researchers to unpack: (1) the success of the athletes, and (2) the prominence of the esports.","container-title":"International Review of Sport and Exercise Psychology","DOI":"10.1080/1750984X.2024.2386531","ISSN":"1750-984X","issue":"0","note":"publisher: Routledge\n_eprint: https://doi.org/10.1080/1750984X.2024.2386531","page":"1-36","source":"Taylor and Francis+NEJM","title":"Defining elite esports athletes: a scoping review","title-short":"Defining elite esports athletes","volume":"0","author":[{"family":"Poulus","given":"Dylan R."},{"family":"Sharpe","given":"Benjamin T."},{"family":"Jackman","given":"Patricia C."},{"family":"Swann","given":"Christian"},{"family":"Bennett","given":"Kyle J. M."}],"issued":{"date-parts":[["2024"]]},"citation-key":"poulusDefiningEliteEsports2024"}},{"id":927,"uris":["http://zotero.org/users/13125511/items/PVVENZS6"],"itemData":{"id":927,"type":"article-journal","abstract":"Accompanying esports? explosion in popularity, the amount of academic research focused on organized, competitive gaming has grown rapidly. From 2002 through March 2018, esports research has developed from nonexistent into a field of study spread across seven academic disciplines. We review work in business, sports science, cognitive science, informatics, law, media studies, and sociology to understand the current state of academic research of esports and to identify convergent research questions, findings, and trends across fields.","container-title":"Games and Culture","DOI":"10.1177/1555412019840892","ISSN":"1555-4120","issue":"1","note":"publisher: SAGE Publications","page":"32-50","source":"SAGE Journals","title":"Esports Research: A Literature Review","title-short":"Esports Research","volume":"15","author":[{"family":"Reitman","given":"Jason G."},{"family":"Anderson-Coto","given":"Maria J."},{"family":"Wu","given":"Minerva"},{"family":"Lee","given":"Je Seok"},{"family":"Steinkuehler","given":"Constance"}],"issued":{"date-parts":[["2020",1,1]]},"citation-key":"reitmanEsportsResearchLiterature2020"}}],"schema":"https://github.com/citation-style-language/schema/raw/master/csl-citation.json"} </w:instrText>
      </w:r>
      <w:r w:rsidR="00A50FC2">
        <w:rPr>
          <w:rFonts w:cs="Arial"/>
          <w:color w:val="000000" w:themeColor="text1"/>
        </w:rPr>
        <w:fldChar w:fldCharType="separate"/>
      </w:r>
      <w:r w:rsidR="00F24B87" w:rsidRPr="00F24B87">
        <w:rPr>
          <w:rFonts w:cs="Arial"/>
        </w:rPr>
        <w:t>(Poulus, Sharpe, et al., 2024; Reitman et al., 2020)</w:t>
      </w:r>
      <w:r w:rsidR="00A50FC2">
        <w:rPr>
          <w:rFonts w:cs="Arial"/>
          <w:color w:val="000000" w:themeColor="text1"/>
        </w:rPr>
        <w:fldChar w:fldCharType="end"/>
      </w:r>
      <w:r w:rsidR="00C764BD" w:rsidRPr="006731E3">
        <w:rPr>
          <w:rFonts w:cs="Arial"/>
          <w:color w:val="000000" w:themeColor="text1"/>
        </w:rPr>
        <w:t xml:space="preserve">, </w:t>
      </w:r>
      <w:r w:rsidR="00A01066" w:rsidRPr="006731E3">
        <w:rPr>
          <w:rFonts w:cs="Arial"/>
          <w:color w:val="000000" w:themeColor="text1"/>
        </w:rPr>
        <w:t xml:space="preserve">possibly due to its immense popularity among young people </w:t>
      </w:r>
      <w:r w:rsidR="00B91869" w:rsidRPr="006731E3">
        <w:rPr>
          <w:rFonts w:cs="Arial"/>
          <w:color w:val="000000" w:themeColor="text1"/>
        </w:rPr>
        <w:t>and increased</w:t>
      </w:r>
      <w:r w:rsidR="00B91869">
        <w:rPr>
          <w:rFonts w:cs="Arial"/>
          <w:color w:val="000000" w:themeColor="text1"/>
        </w:rPr>
        <w:t xml:space="preserve"> </w:t>
      </w:r>
      <w:r w:rsidR="00D33B8B">
        <w:rPr>
          <w:rFonts w:cs="Arial"/>
          <w:color w:val="000000" w:themeColor="text1"/>
        </w:rPr>
        <w:t>professionalisation</w:t>
      </w:r>
      <w:r w:rsidR="00B91869">
        <w:rPr>
          <w:rFonts w:cs="Arial"/>
          <w:color w:val="000000" w:themeColor="text1"/>
        </w:rPr>
        <w:t xml:space="preserve"> in a competitive sense. </w:t>
      </w:r>
      <w:r w:rsidR="00945CAB">
        <w:rPr>
          <w:rFonts w:cs="Arial"/>
          <w:color w:val="000000" w:themeColor="text1"/>
        </w:rPr>
        <w:t xml:space="preserve">Esports has moved far beyond small gatherings </w:t>
      </w:r>
      <w:r w:rsidR="002366B5">
        <w:rPr>
          <w:rFonts w:cs="Arial"/>
          <w:color w:val="000000" w:themeColor="text1"/>
        </w:rPr>
        <w:t xml:space="preserve">in </w:t>
      </w:r>
      <w:r w:rsidR="006F3688">
        <w:rPr>
          <w:rFonts w:cs="Arial"/>
          <w:color w:val="000000" w:themeColor="text1"/>
        </w:rPr>
        <w:t>niche</w:t>
      </w:r>
      <w:r w:rsidR="002366B5">
        <w:rPr>
          <w:rFonts w:cs="Arial"/>
          <w:color w:val="000000" w:themeColor="text1"/>
        </w:rPr>
        <w:t xml:space="preserve"> </w:t>
      </w:r>
      <w:r w:rsidR="00E55FE9">
        <w:rPr>
          <w:rFonts w:cs="Arial"/>
          <w:color w:val="000000" w:themeColor="text1"/>
        </w:rPr>
        <w:t xml:space="preserve">gaming </w:t>
      </w:r>
      <w:r w:rsidR="002366B5">
        <w:rPr>
          <w:rFonts w:cs="Arial"/>
          <w:color w:val="000000" w:themeColor="text1"/>
        </w:rPr>
        <w:t>communities</w:t>
      </w:r>
      <w:r w:rsidR="006F3688">
        <w:rPr>
          <w:rFonts w:cs="Arial"/>
          <w:color w:val="000000" w:themeColor="text1"/>
        </w:rPr>
        <w:t xml:space="preserve">, </w:t>
      </w:r>
      <w:r w:rsidR="00124953">
        <w:rPr>
          <w:rFonts w:cs="Arial"/>
          <w:color w:val="000000" w:themeColor="text1"/>
        </w:rPr>
        <w:t xml:space="preserve">evolving into a global phenomenon, </w:t>
      </w:r>
      <w:r w:rsidR="006F3688">
        <w:rPr>
          <w:rFonts w:cs="Arial"/>
          <w:color w:val="000000" w:themeColor="text1"/>
        </w:rPr>
        <w:t>with</w:t>
      </w:r>
      <w:r w:rsidR="00D97599">
        <w:rPr>
          <w:rFonts w:cs="Arial"/>
          <w:color w:val="000000" w:themeColor="text1"/>
        </w:rPr>
        <w:t xml:space="preserve"> numerous</w:t>
      </w:r>
      <w:r w:rsidR="006F3688">
        <w:rPr>
          <w:rFonts w:cs="Arial"/>
          <w:color w:val="000000" w:themeColor="text1"/>
        </w:rPr>
        <w:t xml:space="preserve"> major international tournaments</w:t>
      </w:r>
      <w:r w:rsidR="00857C88">
        <w:rPr>
          <w:rFonts w:cs="Arial"/>
          <w:color w:val="000000" w:themeColor="text1"/>
        </w:rPr>
        <w:t xml:space="preserve">, such as the Esports World Cup. The competitive domain has </w:t>
      </w:r>
      <w:r w:rsidR="000052AC">
        <w:rPr>
          <w:rFonts w:cs="Arial"/>
          <w:color w:val="000000" w:themeColor="text1"/>
        </w:rPr>
        <w:t>developed</w:t>
      </w:r>
      <w:r w:rsidR="00857C88">
        <w:rPr>
          <w:rFonts w:cs="Arial"/>
          <w:color w:val="000000" w:themeColor="text1"/>
        </w:rPr>
        <w:t xml:space="preserve"> so far that </w:t>
      </w:r>
      <w:r w:rsidR="009120BD">
        <w:rPr>
          <w:rFonts w:cs="Arial"/>
          <w:color w:val="000000" w:themeColor="text1"/>
        </w:rPr>
        <w:t>an Olympic Esports Games is possible</w:t>
      </w:r>
      <w:r w:rsidR="00D97599">
        <w:rPr>
          <w:rFonts w:cs="Arial"/>
          <w:color w:val="000000" w:themeColor="text1"/>
        </w:rPr>
        <w:t xml:space="preserve"> in the foreseeable future</w:t>
      </w:r>
      <w:r w:rsidR="00C346A0">
        <w:rPr>
          <w:rFonts w:cs="Arial"/>
          <w:color w:val="000000" w:themeColor="text1"/>
        </w:rPr>
        <w:t xml:space="preserve"> </w:t>
      </w:r>
      <w:r w:rsidR="000153DC">
        <w:rPr>
          <w:rFonts w:cs="Arial"/>
          <w:color w:val="000000" w:themeColor="text1"/>
        </w:rPr>
        <w:fldChar w:fldCharType="begin"/>
      </w:r>
      <w:r w:rsidR="00EC10D9">
        <w:rPr>
          <w:rFonts w:cs="Arial"/>
          <w:color w:val="000000" w:themeColor="text1"/>
        </w:rPr>
        <w:instrText xml:space="preserve"> ADDIN ZOTERO_ITEM CSL_CITATION {"citationID":"E36hHyu2","properties":{"formattedCitation":"(International Olympics Committee, 2024)","plainCitation":"(International Olympics Committee, 2024)","noteIndex":0},"citationItems":[{"id":805,"uris":["http://zotero.org/users/13125511/items/SQ5422Q6"],"itemData":{"id":805,"type":"webpage","abstract":"The International Olympic Committee (IOC) today announced that it has partnered with the National Olympic Committee (NOC) of Saudi Arabia to host the inaugural Olympic Esports Games 2025 in the Kingdom of Saudi Arabia.","container-title":"Olympics.com","language":"en","title":"IOC announces Olympic Esports Games to be hosted in the Kingdom of Saudi Arabia","URL":"https://olympics.com/ioc/news/ioc-announces-olympic-esports-games-to-be-hosted-in-the-kingdom-of-saudi-arabia","author":[{"family":"International Olympics Committee","given":""}],"accessed":{"date-parts":[["2024",9,26]]},"issued":{"date-parts":[["2024",7,12]]},"citation-key":"internationalolympicscommitteeIOCAnnouncesOlympic2024"}}],"schema":"https://github.com/citation-style-language/schema/raw/master/csl-citation.json"} </w:instrText>
      </w:r>
      <w:r w:rsidR="000153DC">
        <w:rPr>
          <w:rFonts w:cs="Arial"/>
          <w:color w:val="000000" w:themeColor="text1"/>
        </w:rPr>
        <w:fldChar w:fldCharType="separate"/>
      </w:r>
      <w:r w:rsidR="000153DC" w:rsidRPr="000153DC">
        <w:rPr>
          <w:rFonts w:cs="Arial"/>
        </w:rPr>
        <w:t>(International Olympics Committee, 2024)</w:t>
      </w:r>
      <w:r w:rsidR="000153DC">
        <w:rPr>
          <w:rFonts w:cs="Arial"/>
          <w:color w:val="000000" w:themeColor="text1"/>
        </w:rPr>
        <w:fldChar w:fldCharType="end"/>
      </w:r>
      <w:r w:rsidR="00857C88">
        <w:rPr>
          <w:rFonts w:cs="Arial"/>
          <w:color w:val="000000" w:themeColor="text1"/>
        </w:rPr>
        <w:t>.</w:t>
      </w:r>
      <w:r w:rsidR="00D97599">
        <w:rPr>
          <w:rFonts w:cs="Arial"/>
          <w:color w:val="000000" w:themeColor="text1"/>
        </w:rPr>
        <w:t xml:space="preserve"> </w:t>
      </w:r>
      <w:r w:rsidR="005E1FB1">
        <w:rPr>
          <w:rFonts w:cs="Arial"/>
          <w:color w:val="000000" w:themeColor="text1"/>
        </w:rPr>
        <w:t>While</w:t>
      </w:r>
      <w:r w:rsidR="00E75367">
        <w:rPr>
          <w:rFonts w:cs="Arial"/>
          <w:color w:val="000000" w:themeColor="text1"/>
        </w:rPr>
        <w:t xml:space="preserve"> </w:t>
      </w:r>
      <w:r w:rsidR="005712A4">
        <w:rPr>
          <w:rFonts w:cs="Arial"/>
          <w:color w:val="000000" w:themeColor="text1"/>
        </w:rPr>
        <w:t>esports was largely a self-directed recreational pursuit in the pas</w:t>
      </w:r>
      <w:r w:rsidR="00E75367">
        <w:rPr>
          <w:rFonts w:cs="Arial"/>
          <w:color w:val="000000" w:themeColor="text1"/>
        </w:rPr>
        <w:t xml:space="preserve">t, </w:t>
      </w:r>
      <w:r w:rsidR="005460CB">
        <w:rPr>
          <w:rFonts w:cs="Arial"/>
          <w:color w:val="000000" w:themeColor="text1"/>
        </w:rPr>
        <w:t xml:space="preserve">players now </w:t>
      </w:r>
      <w:r w:rsidR="00370D08">
        <w:rPr>
          <w:rFonts w:cs="Arial"/>
          <w:color w:val="000000" w:themeColor="text1"/>
        </w:rPr>
        <w:t xml:space="preserve">have </w:t>
      </w:r>
      <w:r w:rsidR="00AB5179">
        <w:rPr>
          <w:rFonts w:cs="Arial"/>
          <w:color w:val="000000" w:themeColor="text1"/>
        </w:rPr>
        <w:t xml:space="preserve">facilities, </w:t>
      </w:r>
      <w:r w:rsidR="00370D08">
        <w:rPr>
          <w:rFonts w:cs="Arial"/>
          <w:color w:val="000000" w:themeColor="text1"/>
        </w:rPr>
        <w:t>schedules</w:t>
      </w:r>
      <w:r w:rsidR="00AB5179">
        <w:rPr>
          <w:rFonts w:cs="Arial"/>
          <w:color w:val="000000" w:themeColor="text1"/>
        </w:rPr>
        <w:t>,</w:t>
      </w:r>
      <w:r w:rsidR="00370D08">
        <w:rPr>
          <w:rFonts w:cs="Arial"/>
          <w:color w:val="000000" w:themeColor="text1"/>
        </w:rPr>
        <w:t xml:space="preserve"> and support comparable to</w:t>
      </w:r>
      <w:r w:rsidR="005460CB">
        <w:rPr>
          <w:rFonts w:cs="Arial"/>
          <w:color w:val="000000" w:themeColor="text1"/>
        </w:rPr>
        <w:t xml:space="preserve"> traditional athletes</w:t>
      </w:r>
      <w:r w:rsidR="00370D08">
        <w:rPr>
          <w:rFonts w:cs="Arial"/>
          <w:color w:val="000000" w:themeColor="text1"/>
        </w:rPr>
        <w:t xml:space="preserve">. </w:t>
      </w:r>
      <w:r w:rsidR="004F2E08">
        <w:rPr>
          <w:rFonts w:cs="Arial"/>
          <w:color w:val="000000" w:themeColor="text1"/>
        </w:rPr>
        <w:t xml:space="preserve">In many instances, </w:t>
      </w:r>
      <w:r w:rsidR="00FA162D">
        <w:rPr>
          <w:rFonts w:cs="Arial"/>
          <w:color w:val="000000" w:themeColor="text1"/>
        </w:rPr>
        <w:t xml:space="preserve">esports players will engage in hours of team and individual practice, </w:t>
      </w:r>
      <w:r w:rsidR="00F93C7B">
        <w:rPr>
          <w:rFonts w:cs="Arial"/>
          <w:color w:val="000000" w:themeColor="text1"/>
        </w:rPr>
        <w:t xml:space="preserve">planning and </w:t>
      </w:r>
      <w:r w:rsidR="00FA162D">
        <w:rPr>
          <w:rFonts w:cs="Arial"/>
          <w:color w:val="000000" w:themeColor="text1"/>
        </w:rPr>
        <w:t>video review sessions</w:t>
      </w:r>
      <w:r w:rsidR="004F7930">
        <w:rPr>
          <w:rFonts w:cs="Arial"/>
          <w:color w:val="000000" w:themeColor="text1"/>
        </w:rPr>
        <w:t>, team-building activities, and personal development</w:t>
      </w:r>
      <w:r w:rsidR="002D7FD9">
        <w:rPr>
          <w:rFonts w:cs="Arial"/>
          <w:color w:val="000000" w:themeColor="text1"/>
        </w:rPr>
        <w:t xml:space="preserve"> </w:t>
      </w:r>
      <w:r w:rsidR="005E2873">
        <w:rPr>
          <w:rFonts w:cs="Arial"/>
          <w:color w:val="000000" w:themeColor="text1"/>
        </w:rPr>
        <w:fldChar w:fldCharType="begin"/>
      </w:r>
      <w:r w:rsidR="00EC10D9">
        <w:rPr>
          <w:rFonts w:cs="Arial"/>
          <w:color w:val="000000" w:themeColor="text1"/>
        </w:rPr>
        <w:instrText xml:space="preserve"> ADDIN ZOTERO_ITEM CSL_CITATION {"citationID":"qoo9ulZQ","properties":{"formattedCitation":"(Pedraza-Ramirez et al., 2020; D. R. Poulus et al., 2022a)","plainCitation":"(Pedraza-Ramirez et al., 2020; D. R. Poulus et al., 2022a)","dontUpdate":true,"noteIndex":0},"citationItems":[{"id":"7iWxUWVW/Gg5nr0V3","uris":["http://zotero.org/users/4942072/items/6MMEH4MF"],"itemData":{"id":"MWZyZE7C/fsEiHwGE","type":"article-journal","abstract":"Competitive gaming, better known as electronic sports (esports), is rapidly growing in popularity. We systematically reviewed the available literature regarding the psychological aspects of esports using the Preferred Reporting Items for Systematic Review and Meta-Analysis Protocols (PRISMA-P) evidence-based reporting checklist and a Population, Intervention, Comparator, and Outcomes (PICO) framework with the following inclusion criteria: (i) published between 1994 and 2018; (ii) empirical investigation (as the current state of research is dense with positions and opinions but has few empirical investigations); and (iii) focussed on esports games that are associated with either cognitive performance or game performance. The goal of our research was twofold: to present a summary of the empirical evidence addressing the psychological characteristics of both cognitive and game performance in esports, and to integrate esports in the field of sport psychology. More specifically, our goals were to highlight the interplay of psychological aspects of performance and esports and to clearly define the theoretical foundations of the psychological aspects of esports performance. Underlining the differences from video gaming will inform future research directions and stimulate the development of high-quality practice in the applied field of sports and exercise psychology.","container-title":"International Review of Sport and Exercise Psychology","DOI":"10.1080/1750984X.2020.1723122","ISSN":"1750-984X","issue":"0","page":"1-34","source":"Taylor and Francis+NEJM","title":"Setting the scientific stage for esports psychology: a systematic review","title-short":"Setting the scientific stage for esports psychology","volume":"0","author":[{"family":"Pedraza-Ramirez","given":"Ismael"},{"family":"Musculus","given":"Lisa"},{"family":"Raab","given":"Markus"},{"family":"Laborde","given":"Sylvain"}],"issued":{"date-parts":[["2020",2,10]]}}},{"id":586,"uris":["http://zotero.org/users/13125511/items/UK3HCKQJ"],"itemData":{"id":586,"type":"article-journal","abstract":"The current study aimed to qualitatively investigate the perceived determinants of success in professional esports athletes. Guided by the bioecological model (Bronfenbrenner &amp; Morris, 2006), thematic analysis was used to explore elite esports athletes’ perceptions of success determinants. Semi-structured interviews were conducted with seven elite esports athletes. The interviews were used to investigate players’ psychology when playing well, training in elite esports, and working in esports teams. Deductive and inductive analyses were conducted to capture the core themes of success in esports within the bioecological model. When playing well, elite esports athletes experienced high levels of confidence, uninterrupted focus, and flow states. Elite esport athletes use mental strategies to help regulate their emotions and remain mindful in the presence of “tilt”. Furthermore, breathing techniques and tactical breaks were used when players felt nervous or when trying to “reset” from a stressful situation. When working in elite esport teams, players reported using strategies to improve team cohesion and that the biggest challenge was interpersonal disagreements. The results contribute to the growing body of literature highlighting the psychological similarities between elite esports and traditional sports athletes and serve as an index for future research into high-performance in esports.","container-title":"Journal of Sports Sciences","DOI":"10.1080/02640414.2021.2015916","ISSN":"0264-0414","issue":"7","note":"publisher: Routledge\n_eprint: https://doi.org/10.1080/02640414.2021.2015916\nPMID: 34930102","page":"742–753","source":"Taylor and Francis+NEJM","title":"A qualitative analysis of the perceived determinants of success in elite esports athletes","volume":"40","author":[{"family":"Poulus","given":"Dylan R"},{"family":"Coulter","given":"Tristan J"},{"family":"Trotter","given":"Michael G"},{"family":"Polman","given":"Remco"}],"issued":{"date-parts":[["2022",4,3]]},"citation-key":"poulusQualitativeAnalysisPerceived2022"}}],"schema":"https://github.com/citation-style-language/schema/raw/master/csl-citation.json"} </w:instrText>
      </w:r>
      <w:r w:rsidR="005E2873">
        <w:rPr>
          <w:rFonts w:cs="Arial"/>
          <w:color w:val="000000" w:themeColor="text1"/>
        </w:rPr>
        <w:fldChar w:fldCharType="separate"/>
      </w:r>
      <w:r w:rsidR="008A648D" w:rsidRPr="008A648D">
        <w:rPr>
          <w:rFonts w:cs="Arial"/>
        </w:rPr>
        <w:t>(Pedraza-Ramirez et al., 2020; Poulus et al., 2022a)</w:t>
      </w:r>
      <w:r w:rsidR="005E2873">
        <w:rPr>
          <w:rFonts w:cs="Arial"/>
          <w:color w:val="000000" w:themeColor="text1"/>
        </w:rPr>
        <w:fldChar w:fldCharType="end"/>
      </w:r>
      <w:r w:rsidR="00BF5DF2">
        <w:rPr>
          <w:rFonts w:cs="Arial"/>
          <w:color w:val="000000" w:themeColor="text1"/>
        </w:rPr>
        <w:t>.</w:t>
      </w:r>
      <w:r w:rsidR="004F7930">
        <w:rPr>
          <w:rFonts w:cs="Arial"/>
          <w:color w:val="000000" w:themeColor="text1"/>
        </w:rPr>
        <w:t xml:space="preserve"> They also have </w:t>
      </w:r>
      <w:r w:rsidR="00AB5179">
        <w:rPr>
          <w:rFonts w:cs="Arial"/>
          <w:color w:val="000000" w:themeColor="text1"/>
        </w:rPr>
        <w:t>performance facilities</w:t>
      </w:r>
      <w:r w:rsidR="00A67187">
        <w:rPr>
          <w:rFonts w:cs="Arial"/>
          <w:color w:val="000000" w:themeColor="text1"/>
        </w:rPr>
        <w:t xml:space="preserve"> for their training</w:t>
      </w:r>
      <w:r w:rsidR="00AB5179">
        <w:rPr>
          <w:rFonts w:cs="Arial"/>
          <w:color w:val="000000" w:themeColor="text1"/>
        </w:rPr>
        <w:t xml:space="preserve"> and </w:t>
      </w:r>
      <w:r w:rsidR="00BB7B09">
        <w:rPr>
          <w:rFonts w:cs="Arial"/>
          <w:color w:val="000000" w:themeColor="text1"/>
        </w:rPr>
        <w:t>support staff</w:t>
      </w:r>
      <w:r w:rsidR="0091498C">
        <w:rPr>
          <w:rFonts w:cs="Arial"/>
          <w:color w:val="000000" w:themeColor="text1"/>
        </w:rPr>
        <w:t xml:space="preserve"> working with them</w:t>
      </w:r>
      <w:r w:rsidR="004F7930">
        <w:rPr>
          <w:rFonts w:cs="Arial"/>
          <w:color w:val="000000" w:themeColor="text1"/>
        </w:rPr>
        <w:t xml:space="preserve">, including coaches, analysts, sports psychologists, </w:t>
      </w:r>
      <w:r w:rsidR="00776AA3">
        <w:rPr>
          <w:rFonts w:cs="Arial"/>
          <w:color w:val="000000" w:themeColor="text1"/>
        </w:rPr>
        <w:t xml:space="preserve">and </w:t>
      </w:r>
      <w:r w:rsidR="005712A4">
        <w:rPr>
          <w:rFonts w:cs="Arial"/>
          <w:color w:val="000000" w:themeColor="text1"/>
        </w:rPr>
        <w:t>sometimes</w:t>
      </w:r>
      <w:r w:rsidR="00776AA3">
        <w:rPr>
          <w:rFonts w:cs="Arial"/>
          <w:color w:val="000000" w:themeColor="text1"/>
        </w:rPr>
        <w:t xml:space="preserve"> strength and conditioning specialists</w:t>
      </w:r>
      <w:r w:rsidR="000A32F0">
        <w:rPr>
          <w:rFonts w:cs="Arial"/>
          <w:color w:val="000000" w:themeColor="text1"/>
        </w:rPr>
        <w:t xml:space="preserve"> </w:t>
      </w:r>
      <w:r w:rsidR="000A32F0">
        <w:rPr>
          <w:rFonts w:cs="Arial"/>
          <w:color w:val="000000" w:themeColor="text1"/>
        </w:rPr>
        <w:fldChar w:fldCharType="begin"/>
      </w:r>
      <w:r w:rsidR="00EC10D9">
        <w:rPr>
          <w:rFonts w:cs="Arial"/>
          <w:color w:val="000000" w:themeColor="text1"/>
        </w:rPr>
        <w:instrText xml:space="preserve"> ADDIN ZOTERO_ITEM CSL_CITATION {"citationID":"glHT0GuX","properties":{"formattedCitation":"(Zalamea, 2022)","plainCitation":"(Zalamea, 2022)","noteIndex":0},"citationItems":[{"id":804,"uris":["http://zotero.org/users/13125511/items/IAUSFU2G"],"itemData":{"id":804,"type":"webpage","container-title":"One Esports","language":"en-US","note":"section: Gaming","title":"This US$50M TSM esports performance center is the most expensive in the world | ONE Esports","URL":"https://www.oneesports.gg/gaming/tsm-esports-performance-center-expensive/","author":[{"family":"Zalamea","given":"Nigel"}],"accessed":{"date-parts":[["2024",9,26]]},"issued":{"date-parts":[["2022",2,10]]},"citation-key":"zalameaThisUS$50MTSM2022"}}],"schema":"https://github.com/citation-style-language/schema/raw/master/csl-citation.json"} </w:instrText>
      </w:r>
      <w:r w:rsidR="000A32F0">
        <w:rPr>
          <w:rFonts w:cs="Arial"/>
          <w:color w:val="000000" w:themeColor="text1"/>
        </w:rPr>
        <w:fldChar w:fldCharType="separate"/>
      </w:r>
      <w:r w:rsidR="000A32F0" w:rsidRPr="000A32F0">
        <w:rPr>
          <w:rFonts w:cs="Arial"/>
        </w:rPr>
        <w:t>(Zalamea, 2022)</w:t>
      </w:r>
      <w:r w:rsidR="000A32F0">
        <w:rPr>
          <w:rFonts w:cs="Arial"/>
          <w:color w:val="000000" w:themeColor="text1"/>
        </w:rPr>
        <w:fldChar w:fldCharType="end"/>
      </w:r>
      <w:r w:rsidR="00776AA3">
        <w:rPr>
          <w:rFonts w:cs="Arial"/>
          <w:color w:val="000000" w:themeColor="text1"/>
        </w:rPr>
        <w:t xml:space="preserve">. </w:t>
      </w:r>
      <w:r w:rsidR="00124953">
        <w:rPr>
          <w:rFonts w:cs="Arial"/>
          <w:color w:val="000000" w:themeColor="text1"/>
        </w:rPr>
        <w:t>Consequently,</w:t>
      </w:r>
      <w:r w:rsidR="00825614">
        <w:rPr>
          <w:rFonts w:cs="Arial"/>
          <w:color w:val="000000" w:themeColor="text1"/>
        </w:rPr>
        <w:t xml:space="preserve"> </w:t>
      </w:r>
      <w:r w:rsidR="00A87C1F">
        <w:rPr>
          <w:rFonts w:cs="Arial"/>
          <w:color w:val="000000" w:themeColor="text1"/>
        </w:rPr>
        <w:t>innovation in performance optimisation, talent identification</w:t>
      </w:r>
      <w:r w:rsidR="00CA6C4A">
        <w:rPr>
          <w:rFonts w:cs="Arial"/>
          <w:color w:val="000000" w:themeColor="text1"/>
        </w:rPr>
        <w:t xml:space="preserve">, and expertise development is now at the forefront of professional organisations looking to </w:t>
      </w:r>
      <w:r w:rsidR="005712A4">
        <w:rPr>
          <w:rFonts w:cs="Arial"/>
          <w:color w:val="000000" w:themeColor="text1"/>
        </w:rPr>
        <w:t>succeed</w:t>
      </w:r>
      <w:r w:rsidR="00CA6C4A">
        <w:rPr>
          <w:rFonts w:cs="Arial"/>
          <w:color w:val="000000" w:themeColor="text1"/>
        </w:rPr>
        <w:t xml:space="preserve"> at domestic and international levels</w:t>
      </w:r>
      <w:r w:rsidR="00BF5DF2">
        <w:rPr>
          <w:rFonts w:cs="Arial"/>
          <w:color w:val="000000" w:themeColor="text1"/>
        </w:rPr>
        <w:t>.</w:t>
      </w:r>
      <w:r w:rsidR="007848E6">
        <w:rPr>
          <w:rFonts w:cs="Arial"/>
          <w:color w:val="000000" w:themeColor="text1"/>
        </w:rPr>
        <w:t xml:space="preserve"> </w:t>
      </w:r>
    </w:p>
    <w:p w14:paraId="32075DAA" w14:textId="7659DE3B" w:rsidR="004A6E33" w:rsidRDefault="00124953" w:rsidP="00124953">
      <w:pPr>
        <w:ind w:firstLine="720"/>
        <w:rPr>
          <w:rFonts w:cs="Arial"/>
          <w:color w:val="000000" w:themeColor="text1"/>
        </w:rPr>
      </w:pPr>
      <w:r>
        <w:rPr>
          <w:rFonts w:cs="Arial"/>
          <w:color w:val="000000" w:themeColor="text1"/>
        </w:rPr>
        <w:t>Among the esports titles, League of Legends</w:t>
      </w:r>
      <w:r w:rsidR="00BB7B09">
        <w:rPr>
          <w:rFonts w:cs="Arial"/>
          <w:color w:val="000000" w:themeColor="text1"/>
        </w:rPr>
        <w:t xml:space="preserve"> (Riot Games, California, USA)</w:t>
      </w:r>
      <w:r>
        <w:rPr>
          <w:rFonts w:cs="Arial"/>
          <w:color w:val="000000" w:themeColor="text1"/>
        </w:rPr>
        <w:t xml:space="preserve"> stands out as one of the most competitive </w:t>
      </w:r>
      <w:r w:rsidR="000052AC">
        <w:rPr>
          <w:rFonts w:cs="Arial"/>
          <w:color w:val="000000" w:themeColor="text1"/>
        </w:rPr>
        <w:t>at domestic and international levels</w:t>
      </w:r>
      <w:r w:rsidR="00067CFE">
        <w:rPr>
          <w:rFonts w:cs="Arial"/>
          <w:color w:val="000000" w:themeColor="text1"/>
        </w:rPr>
        <w:t xml:space="preserve">, </w:t>
      </w:r>
      <w:r>
        <w:rPr>
          <w:rFonts w:cs="Arial"/>
          <w:color w:val="000000" w:themeColor="text1"/>
        </w:rPr>
        <w:t>featuring</w:t>
      </w:r>
      <w:r w:rsidR="000052AC">
        <w:rPr>
          <w:rFonts w:cs="Arial"/>
          <w:color w:val="000000" w:themeColor="text1"/>
        </w:rPr>
        <w:t xml:space="preserve"> </w:t>
      </w:r>
      <w:r w:rsidR="00997A5B">
        <w:rPr>
          <w:rFonts w:cs="Arial"/>
          <w:color w:val="000000" w:themeColor="text1"/>
        </w:rPr>
        <w:t>numerous</w:t>
      </w:r>
      <w:r w:rsidR="00BB7B09">
        <w:rPr>
          <w:rFonts w:cs="Arial"/>
          <w:color w:val="000000" w:themeColor="text1"/>
        </w:rPr>
        <w:t xml:space="preserve"> tournament seasons in each domestic region, culminating in </w:t>
      </w:r>
      <w:r w:rsidR="000052AC">
        <w:rPr>
          <w:rFonts w:cs="Arial"/>
          <w:color w:val="000000" w:themeColor="text1"/>
        </w:rPr>
        <w:t>major international tournaments</w:t>
      </w:r>
      <w:r w:rsidR="00BB7B09">
        <w:rPr>
          <w:rFonts w:cs="Arial"/>
          <w:color w:val="000000" w:themeColor="text1"/>
        </w:rPr>
        <w:t xml:space="preserve"> attended by the highest performing teams in each region</w:t>
      </w:r>
      <w:r>
        <w:rPr>
          <w:rFonts w:cs="Arial"/>
          <w:color w:val="000000" w:themeColor="text1"/>
        </w:rPr>
        <w:t xml:space="preserve"> – </w:t>
      </w:r>
      <w:r w:rsidR="000052AC">
        <w:rPr>
          <w:rFonts w:cs="Arial"/>
          <w:color w:val="000000" w:themeColor="text1"/>
        </w:rPr>
        <w:t>Mid-Season Invitational and World Championships</w:t>
      </w:r>
      <w:r w:rsidR="000F431D">
        <w:rPr>
          <w:rFonts w:cs="Arial"/>
          <w:color w:val="000000" w:themeColor="text1"/>
        </w:rPr>
        <w:t>.</w:t>
      </w:r>
      <w:r w:rsidR="004A6E33">
        <w:rPr>
          <w:rFonts w:cs="Arial"/>
          <w:color w:val="000000" w:themeColor="text1"/>
        </w:rPr>
        <w:t xml:space="preserve"> </w:t>
      </w:r>
      <w:r>
        <w:rPr>
          <w:rFonts w:cs="Arial"/>
          <w:color w:val="000000" w:themeColor="text1"/>
        </w:rPr>
        <w:t>Established regions</w:t>
      </w:r>
      <w:r w:rsidR="00761E1F">
        <w:rPr>
          <w:rFonts w:cs="Arial"/>
          <w:color w:val="000000" w:themeColor="text1"/>
        </w:rPr>
        <w:t xml:space="preserve"> (i.e.</w:t>
      </w:r>
      <w:r>
        <w:rPr>
          <w:rFonts w:cs="Arial"/>
          <w:color w:val="000000" w:themeColor="text1"/>
        </w:rPr>
        <w:t>,</w:t>
      </w:r>
      <w:r w:rsidR="00761E1F">
        <w:rPr>
          <w:rFonts w:cs="Arial"/>
          <w:color w:val="000000" w:themeColor="text1"/>
        </w:rPr>
        <w:t xml:space="preserve"> major regions)</w:t>
      </w:r>
      <w:r w:rsidR="00F65CB2">
        <w:rPr>
          <w:rFonts w:cs="Arial"/>
          <w:color w:val="000000" w:themeColor="text1"/>
        </w:rPr>
        <w:t>,</w:t>
      </w:r>
      <w:r>
        <w:rPr>
          <w:rFonts w:cs="Arial"/>
          <w:color w:val="000000" w:themeColor="text1"/>
        </w:rPr>
        <w:t xml:space="preserve"> such as Korea and China, have historically </w:t>
      </w:r>
      <w:r w:rsidR="000F431D">
        <w:rPr>
          <w:rFonts w:cs="Arial"/>
          <w:color w:val="000000" w:themeColor="text1"/>
        </w:rPr>
        <w:t>dominate</w:t>
      </w:r>
      <w:r>
        <w:rPr>
          <w:rFonts w:cs="Arial"/>
          <w:color w:val="000000" w:themeColor="text1"/>
        </w:rPr>
        <w:t>d</w:t>
      </w:r>
      <w:r w:rsidR="000F431D">
        <w:rPr>
          <w:rFonts w:cs="Arial"/>
          <w:color w:val="000000" w:themeColor="text1"/>
        </w:rPr>
        <w:t xml:space="preserve"> the</w:t>
      </w:r>
      <w:r>
        <w:rPr>
          <w:rFonts w:cs="Arial"/>
          <w:color w:val="000000" w:themeColor="text1"/>
        </w:rPr>
        <w:t>se</w:t>
      </w:r>
      <w:r w:rsidR="000F431D">
        <w:rPr>
          <w:rFonts w:cs="Arial"/>
          <w:color w:val="000000" w:themeColor="text1"/>
        </w:rPr>
        <w:t xml:space="preserve"> international tournaments, </w:t>
      </w:r>
      <w:r w:rsidR="000052AC">
        <w:rPr>
          <w:rFonts w:cs="Arial"/>
          <w:color w:val="000000" w:themeColor="text1"/>
        </w:rPr>
        <w:t>w</w:t>
      </w:r>
      <w:r w:rsidR="000F431D">
        <w:rPr>
          <w:rFonts w:cs="Arial"/>
          <w:color w:val="000000" w:themeColor="text1"/>
        </w:rPr>
        <w:t>inning</w:t>
      </w:r>
      <w:r w:rsidR="000052AC">
        <w:rPr>
          <w:rFonts w:cs="Arial"/>
          <w:color w:val="000000" w:themeColor="text1"/>
        </w:rPr>
        <w:t xml:space="preserve"> all but one of the titles at the Mid-Season Invitational and 85%</w:t>
      </w:r>
      <w:r w:rsidR="000F431D">
        <w:rPr>
          <w:rFonts w:cs="Arial"/>
          <w:color w:val="000000" w:themeColor="text1"/>
        </w:rPr>
        <w:t xml:space="preserve"> of the World Championships</w:t>
      </w:r>
      <w:r w:rsidR="00F727CF">
        <w:rPr>
          <w:rFonts w:cs="Arial"/>
          <w:color w:val="000000" w:themeColor="text1"/>
        </w:rPr>
        <w:t xml:space="preserve"> </w:t>
      </w:r>
      <w:r w:rsidR="00F727CF">
        <w:rPr>
          <w:rFonts w:cs="Arial"/>
          <w:color w:val="000000" w:themeColor="text1"/>
        </w:rPr>
        <w:fldChar w:fldCharType="begin"/>
      </w:r>
      <w:r w:rsidR="00EC10D9">
        <w:rPr>
          <w:rFonts w:cs="Arial"/>
          <w:color w:val="000000" w:themeColor="text1"/>
        </w:rPr>
        <w:instrText xml:space="preserve"> ADDIN ZOTERO_ITEM CSL_CITATION {"citationID":"Htx19bIZ","properties":{"formattedCitation":"(Stewart, 2024)","plainCitation":"(Stewart, 2024)","noteIndex":0},"citationItems":[{"id":802,"uris":["http://zotero.org/users/13125511/items/HHREKN5B"],"itemData":{"id":802,"type":"webpage","abstract":"Look back at the League of Legends World Championships’ illustrious history and the story of all LoL Worlds winners.","container-title":"Red Bull","language":"en","title":"Why LoL's World Championships is the esports event you can't afford to miss","URL":"https://www.redbull.com/au-en/league-of-legends-history-of-worlds","author":[{"family":"Stewart","given":"Jack"}],"accessed":{"date-parts":[["2024",9,26]]},"issued":{"date-parts":[["2024",5,1]]},"citation-key":"stewartWhyLoLsWorld2024"}}],"schema":"https://github.com/citation-style-language/schema/raw/master/csl-citation.json"} </w:instrText>
      </w:r>
      <w:r w:rsidR="00F727CF">
        <w:rPr>
          <w:rFonts w:cs="Arial"/>
          <w:color w:val="000000" w:themeColor="text1"/>
        </w:rPr>
        <w:fldChar w:fldCharType="separate"/>
      </w:r>
      <w:r w:rsidR="00F727CF" w:rsidRPr="00F727CF">
        <w:rPr>
          <w:rFonts w:cs="Arial"/>
        </w:rPr>
        <w:t>(Stewart, 2024)</w:t>
      </w:r>
      <w:r w:rsidR="00F727CF">
        <w:rPr>
          <w:rFonts w:cs="Arial"/>
          <w:color w:val="000000" w:themeColor="text1"/>
        </w:rPr>
        <w:fldChar w:fldCharType="end"/>
      </w:r>
      <w:r w:rsidR="000F431D">
        <w:rPr>
          <w:rFonts w:cs="Arial"/>
          <w:color w:val="000000" w:themeColor="text1"/>
        </w:rPr>
        <w:t xml:space="preserve">. </w:t>
      </w:r>
      <w:r w:rsidR="00454AE7">
        <w:rPr>
          <w:rFonts w:cs="Arial"/>
          <w:color w:val="000000" w:themeColor="text1"/>
        </w:rPr>
        <w:t xml:space="preserve">In contrast, </w:t>
      </w:r>
      <w:r w:rsidR="00067CFE">
        <w:rPr>
          <w:rFonts w:cs="Arial"/>
          <w:color w:val="000000" w:themeColor="text1"/>
        </w:rPr>
        <w:t>teams</w:t>
      </w:r>
      <w:r w:rsidR="00454AE7">
        <w:rPr>
          <w:rFonts w:cs="Arial"/>
          <w:color w:val="000000" w:themeColor="text1"/>
        </w:rPr>
        <w:t xml:space="preserve"> </w:t>
      </w:r>
      <w:r w:rsidR="00067CFE">
        <w:rPr>
          <w:rFonts w:cs="Arial"/>
          <w:color w:val="000000" w:themeColor="text1"/>
        </w:rPr>
        <w:t>from emerging regions</w:t>
      </w:r>
      <w:r w:rsidR="00761E1F">
        <w:rPr>
          <w:rFonts w:cs="Arial"/>
          <w:color w:val="000000" w:themeColor="text1"/>
        </w:rPr>
        <w:t xml:space="preserve"> (i.e., minor regions)</w:t>
      </w:r>
      <w:r>
        <w:rPr>
          <w:rFonts w:cs="Arial"/>
          <w:color w:val="000000" w:themeColor="text1"/>
        </w:rPr>
        <w:t>, which include areas with less developed esports infrastructure</w:t>
      </w:r>
      <w:r w:rsidR="00BB7B09">
        <w:rPr>
          <w:rFonts w:cs="Arial"/>
          <w:color w:val="000000" w:themeColor="text1"/>
        </w:rPr>
        <w:t xml:space="preserve"> and/or smaller populations</w:t>
      </w:r>
      <w:r>
        <w:rPr>
          <w:rFonts w:cs="Arial"/>
          <w:color w:val="000000" w:themeColor="text1"/>
        </w:rPr>
        <w:t xml:space="preserve"> like Oceania, often struggle </w:t>
      </w:r>
      <w:r w:rsidR="00067CFE">
        <w:rPr>
          <w:rFonts w:cs="Arial"/>
          <w:color w:val="000000" w:themeColor="text1"/>
        </w:rPr>
        <w:t xml:space="preserve">to </w:t>
      </w:r>
      <w:r w:rsidR="00067CFE">
        <w:rPr>
          <w:rFonts w:cs="Arial"/>
          <w:color w:val="000000" w:themeColor="text1"/>
        </w:rPr>
        <w:lastRenderedPageBreak/>
        <w:t>qualify</w:t>
      </w:r>
      <w:r w:rsidR="00BB7B09">
        <w:rPr>
          <w:rFonts w:cs="Arial"/>
          <w:color w:val="000000" w:themeColor="text1"/>
        </w:rPr>
        <w:t>, are allocated fewer positions,</w:t>
      </w:r>
      <w:r w:rsidR="00067CFE">
        <w:rPr>
          <w:rFonts w:cs="Arial"/>
          <w:color w:val="000000" w:themeColor="text1"/>
        </w:rPr>
        <w:t xml:space="preserve"> and rarely progress far in these </w:t>
      </w:r>
      <w:r>
        <w:rPr>
          <w:rFonts w:cs="Arial"/>
          <w:color w:val="000000" w:themeColor="text1"/>
        </w:rPr>
        <w:t>competitions</w:t>
      </w:r>
      <w:r w:rsidR="00067CFE">
        <w:rPr>
          <w:rFonts w:cs="Arial"/>
          <w:color w:val="000000" w:themeColor="text1"/>
        </w:rPr>
        <w:t>.</w:t>
      </w:r>
      <w:r w:rsidR="009B2C70">
        <w:rPr>
          <w:rFonts w:cs="Arial"/>
          <w:color w:val="000000" w:themeColor="text1"/>
        </w:rPr>
        <w:t xml:space="preserve"> For example, </w:t>
      </w:r>
      <w:r w:rsidR="00482999">
        <w:rPr>
          <w:rFonts w:cs="Arial"/>
          <w:color w:val="000000" w:themeColor="text1"/>
        </w:rPr>
        <w:t>Oceania</w:t>
      </w:r>
      <w:r w:rsidR="00C26984">
        <w:rPr>
          <w:rFonts w:cs="Arial"/>
          <w:color w:val="000000" w:themeColor="text1"/>
        </w:rPr>
        <w:t xml:space="preserve">'s League of Legends Professional competition </w:t>
      </w:r>
      <w:r w:rsidR="00D129C7">
        <w:rPr>
          <w:rFonts w:cs="Arial"/>
          <w:color w:val="000000" w:themeColor="text1"/>
        </w:rPr>
        <w:t xml:space="preserve">has </w:t>
      </w:r>
      <w:r w:rsidR="00173E54">
        <w:rPr>
          <w:rFonts w:cs="Arial"/>
          <w:color w:val="000000" w:themeColor="text1"/>
        </w:rPr>
        <w:t xml:space="preserve">been </w:t>
      </w:r>
      <w:r w:rsidR="00474BDD">
        <w:rPr>
          <w:rFonts w:cs="Arial"/>
          <w:color w:val="000000" w:themeColor="text1"/>
        </w:rPr>
        <w:t xml:space="preserve">replaced or </w:t>
      </w:r>
      <w:r w:rsidR="00ED0E4C">
        <w:rPr>
          <w:rFonts w:cs="Arial"/>
          <w:color w:val="000000" w:themeColor="text1"/>
        </w:rPr>
        <w:t>refreshed</w:t>
      </w:r>
      <w:r w:rsidR="00AA27E6">
        <w:rPr>
          <w:rFonts w:cs="Arial"/>
          <w:color w:val="000000" w:themeColor="text1"/>
        </w:rPr>
        <w:t xml:space="preserve"> twice. In 2020, </w:t>
      </w:r>
      <w:r w:rsidR="00ED0E4C">
        <w:rPr>
          <w:rFonts w:cs="Arial"/>
          <w:color w:val="000000" w:themeColor="text1"/>
        </w:rPr>
        <w:t xml:space="preserve">Riot Games announced </w:t>
      </w:r>
      <w:r w:rsidR="00DE4460">
        <w:rPr>
          <w:rFonts w:cs="Arial"/>
          <w:color w:val="000000" w:themeColor="text1"/>
        </w:rPr>
        <w:t xml:space="preserve">that </w:t>
      </w:r>
      <w:r w:rsidR="00ED0E4C">
        <w:rPr>
          <w:rFonts w:cs="Arial"/>
          <w:color w:val="000000" w:themeColor="text1"/>
        </w:rPr>
        <w:t>the Oceanic Pro League</w:t>
      </w:r>
      <w:r w:rsidR="00DE4460">
        <w:rPr>
          <w:rFonts w:cs="Arial"/>
          <w:color w:val="000000" w:themeColor="text1"/>
        </w:rPr>
        <w:t xml:space="preserve"> (2015 </w:t>
      </w:r>
      <w:r w:rsidR="00B5661D">
        <w:rPr>
          <w:rFonts w:cs="Arial"/>
          <w:color w:val="000000" w:themeColor="text1"/>
        </w:rPr>
        <w:t>–</w:t>
      </w:r>
      <w:r w:rsidR="00DE4460">
        <w:rPr>
          <w:rFonts w:cs="Arial"/>
          <w:color w:val="000000" w:themeColor="text1"/>
        </w:rPr>
        <w:t xml:space="preserve"> 2022</w:t>
      </w:r>
      <w:r w:rsidR="00B5661D">
        <w:rPr>
          <w:rFonts w:cs="Arial"/>
          <w:color w:val="000000" w:themeColor="text1"/>
        </w:rPr>
        <w:t>)</w:t>
      </w:r>
      <w:r w:rsidR="00ED0E4C">
        <w:rPr>
          <w:rFonts w:cs="Arial"/>
          <w:color w:val="000000" w:themeColor="text1"/>
        </w:rPr>
        <w:t xml:space="preserve"> would be dissolved</w:t>
      </w:r>
      <w:r w:rsidR="00C26984">
        <w:rPr>
          <w:rFonts w:cs="Arial"/>
          <w:color w:val="000000" w:themeColor="text1"/>
        </w:rPr>
        <w:t xml:space="preserve"> </w:t>
      </w:r>
      <w:r w:rsidR="00B5661D">
        <w:rPr>
          <w:rFonts w:cs="Arial"/>
          <w:color w:val="000000" w:themeColor="text1"/>
        </w:rPr>
        <w:t xml:space="preserve">due to operational costs </w:t>
      </w:r>
      <w:r w:rsidR="00C26984">
        <w:rPr>
          <w:rFonts w:cs="Arial"/>
          <w:color w:val="000000" w:themeColor="text1"/>
        </w:rPr>
        <w:t xml:space="preserve">and replaced by the </w:t>
      </w:r>
      <w:r w:rsidR="00C26984" w:rsidRPr="00C26984">
        <w:rPr>
          <w:rFonts w:cs="Arial"/>
          <w:color w:val="000000" w:themeColor="text1"/>
        </w:rPr>
        <w:t>League of Legends Circuit Oceania</w:t>
      </w:r>
      <w:r w:rsidR="003B523B">
        <w:rPr>
          <w:rFonts w:cs="Arial"/>
          <w:color w:val="000000" w:themeColor="text1"/>
        </w:rPr>
        <w:t>.</w:t>
      </w:r>
      <w:r w:rsidR="00DE4460">
        <w:rPr>
          <w:rFonts w:cs="Arial"/>
          <w:color w:val="000000" w:themeColor="text1"/>
        </w:rPr>
        <w:t xml:space="preserve"> </w:t>
      </w:r>
      <w:r w:rsidR="00A67F5F">
        <w:rPr>
          <w:rFonts w:cs="Arial"/>
          <w:color w:val="000000" w:themeColor="text1"/>
        </w:rPr>
        <w:t xml:space="preserve">In 2024, the </w:t>
      </w:r>
      <w:r w:rsidR="00013870">
        <w:rPr>
          <w:rFonts w:cs="Arial"/>
          <w:color w:val="000000" w:themeColor="text1"/>
        </w:rPr>
        <w:t>same competition</w:t>
      </w:r>
      <w:r w:rsidR="00ED0E4C">
        <w:rPr>
          <w:rFonts w:cs="Arial"/>
          <w:color w:val="000000" w:themeColor="text1"/>
        </w:rPr>
        <w:t xml:space="preserve"> </w:t>
      </w:r>
      <w:r w:rsidR="00DE4460">
        <w:rPr>
          <w:rFonts w:cs="Arial"/>
          <w:color w:val="000000" w:themeColor="text1"/>
        </w:rPr>
        <w:t>folded</w:t>
      </w:r>
      <w:r w:rsidR="003B523B">
        <w:rPr>
          <w:rFonts w:cs="Arial"/>
          <w:color w:val="000000" w:themeColor="text1"/>
        </w:rPr>
        <w:t xml:space="preserve"> due to</w:t>
      </w:r>
      <w:r w:rsidR="00482999">
        <w:rPr>
          <w:rFonts w:cs="Arial"/>
          <w:color w:val="000000" w:themeColor="text1"/>
        </w:rPr>
        <w:t xml:space="preserve"> similar </w:t>
      </w:r>
      <w:r w:rsidR="00930304">
        <w:rPr>
          <w:rFonts w:cs="Arial"/>
          <w:color w:val="000000" w:themeColor="text1"/>
        </w:rPr>
        <w:t>resourcing issues</w:t>
      </w:r>
      <w:r w:rsidR="007476EC">
        <w:rPr>
          <w:rFonts w:cs="Arial"/>
          <w:color w:val="000000" w:themeColor="text1"/>
        </w:rPr>
        <w:t xml:space="preserve"> </w:t>
      </w:r>
      <w:r w:rsidR="007476EC">
        <w:rPr>
          <w:rFonts w:cs="Arial"/>
          <w:color w:val="000000" w:themeColor="text1"/>
        </w:rPr>
        <w:fldChar w:fldCharType="begin"/>
      </w:r>
      <w:r w:rsidR="00EC10D9">
        <w:rPr>
          <w:rFonts w:cs="Arial"/>
          <w:color w:val="000000" w:themeColor="text1"/>
        </w:rPr>
        <w:instrText xml:space="preserve"> ADDIN ZOTERO_ITEM CSL_CITATION {"citationID":"dGljoanW","properties":{"formattedCitation":"(Taifalos, 2024)","plainCitation":"(Taifalos, 2024)","noteIndex":0},"citationItems":[{"id":924,"uris":["http://zotero.org/users/13125511/items/A9PRH2GQ"],"itemData":{"id":924,"type":"webpage","container-title":"Dot Esports","title":"Riot 'exploring solutions' for new LoL circuit in Oceania just 4 years after last revamp","URL":"https://dotesports.com/league-of-legends/news/riot-exploring-solutions-for-new-lol-circuit-in-oceania-just-4-years-after-last-revamp","author":[{"family":"Taifalos","given":"Nicholas"}],"accessed":{"date-parts":[["2024",10,8]]},"issued":{"date-parts":[["2024"]]},"citation-key":"taifalosRiotExploringSolutions2024"}}],"schema":"https://github.com/citation-style-language/schema/raw/master/csl-citation.json"} </w:instrText>
      </w:r>
      <w:r w:rsidR="007476EC">
        <w:rPr>
          <w:rFonts w:cs="Arial"/>
          <w:color w:val="000000" w:themeColor="text1"/>
        </w:rPr>
        <w:fldChar w:fldCharType="separate"/>
      </w:r>
      <w:r w:rsidR="007476EC" w:rsidRPr="007476EC">
        <w:rPr>
          <w:rFonts w:cs="Arial"/>
        </w:rPr>
        <w:t>(Taifalos, 2024)</w:t>
      </w:r>
      <w:r w:rsidR="007476EC">
        <w:rPr>
          <w:rFonts w:cs="Arial"/>
          <w:color w:val="000000" w:themeColor="text1"/>
        </w:rPr>
        <w:fldChar w:fldCharType="end"/>
      </w:r>
      <w:r w:rsidR="00930304">
        <w:rPr>
          <w:rFonts w:cs="Arial"/>
          <w:color w:val="000000" w:themeColor="text1"/>
        </w:rPr>
        <w:t>.</w:t>
      </w:r>
      <w:r w:rsidR="00067CFE">
        <w:rPr>
          <w:rFonts w:cs="Arial"/>
          <w:color w:val="000000" w:themeColor="text1"/>
        </w:rPr>
        <w:t xml:space="preserve"> </w:t>
      </w:r>
      <w:r>
        <w:rPr>
          <w:rFonts w:cs="Arial"/>
          <w:color w:val="000000" w:themeColor="text1"/>
        </w:rPr>
        <w:t xml:space="preserve">A likely contributor to this disparity </w:t>
      </w:r>
      <w:r w:rsidR="00067CFE">
        <w:rPr>
          <w:rFonts w:cs="Arial"/>
          <w:color w:val="000000" w:themeColor="text1"/>
        </w:rPr>
        <w:t xml:space="preserve">is the size and depth of the </w:t>
      </w:r>
      <w:r>
        <w:rPr>
          <w:rFonts w:cs="Arial"/>
          <w:color w:val="000000" w:themeColor="text1"/>
        </w:rPr>
        <w:t xml:space="preserve">player </w:t>
      </w:r>
      <w:r w:rsidR="00067CFE">
        <w:rPr>
          <w:rFonts w:cs="Arial"/>
          <w:color w:val="000000" w:themeColor="text1"/>
        </w:rPr>
        <w:t>participation pool</w:t>
      </w:r>
      <w:r>
        <w:rPr>
          <w:rFonts w:cs="Arial"/>
          <w:color w:val="000000" w:themeColor="text1"/>
        </w:rPr>
        <w:t xml:space="preserve">. This pool extends beyond the professional </w:t>
      </w:r>
      <w:r w:rsidR="00197782">
        <w:rPr>
          <w:rFonts w:cs="Arial"/>
          <w:color w:val="000000" w:themeColor="text1"/>
        </w:rPr>
        <w:t xml:space="preserve">environment </w:t>
      </w:r>
      <w:r>
        <w:rPr>
          <w:rFonts w:cs="Arial"/>
          <w:color w:val="000000" w:themeColor="text1"/>
        </w:rPr>
        <w:t xml:space="preserve">into </w:t>
      </w:r>
      <w:r w:rsidR="00993B9E">
        <w:rPr>
          <w:rFonts w:cs="Arial"/>
          <w:color w:val="000000" w:themeColor="text1"/>
        </w:rPr>
        <w:t xml:space="preserve">publicly accessible </w:t>
      </w:r>
      <w:r w:rsidR="00CC3AAC" w:rsidRPr="00CC3AAC">
        <w:rPr>
          <w:rFonts w:cs="Arial"/>
          <w:color w:val="000000" w:themeColor="text1"/>
        </w:rPr>
        <w:t>ranked</w:t>
      </w:r>
      <w:r>
        <w:rPr>
          <w:rFonts w:cs="Arial"/>
          <w:color w:val="000000" w:themeColor="text1"/>
        </w:rPr>
        <w:t xml:space="preserve"> </w:t>
      </w:r>
      <w:r w:rsidR="00CC3AAC" w:rsidRPr="00CC3AAC">
        <w:rPr>
          <w:rFonts w:cs="Arial"/>
          <w:color w:val="000000" w:themeColor="text1"/>
        </w:rPr>
        <w:t>match</w:t>
      </w:r>
      <w:r w:rsidR="00993B9E">
        <w:rPr>
          <w:rFonts w:cs="Arial"/>
          <w:color w:val="000000" w:themeColor="text1"/>
        </w:rPr>
        <w:t xml:space="preserve"> </w:t>
      </w:r>
      <w:r w:rsidR="00CC3AAC" w:rsidRPr="00CC3AAC">
        <w:rPr>
          <w:rFonts w:cs="Arial"/>
          <w:color w:val="000000" w:themeColor="text1"/>
        </w:rPr>
        <w:t>play</w:t>
      </w:r>
      <w:r>
        <w:rPr>
          <w:rFonts w:cs="Arial"/>
          <w:color w:val="000000" w:themeColor="text1"/>
        </w:rPr>
        <w:t xml:space="preserve">, where </w:t>
      </w:r>
      <w:r w:rsidR="00197782">
        <w:rPr>
          <w:rFonts w:cs="Arial"/>
          <w:color w:val="000000" w:themeColor="text1"/>
        </w:rPr>
        <w:t xml:space="preserve">any player with access to the game can </w:t>
      </w:r>
      <w:r w:rsidR="004A6E33">
        <w:rPr>
          <w:rFonts w:cs="Arial"/>
          <w:color w:val="000000" w:themeColor="text1"/>
        </w:rPr>
        <w:t xml:space="preserve">compete </w:t>
      </w:r>
      <w:r w:rsidR="00CC3AAC" w:rsidRPr="00CC3AAC">
        <w:rPr>
          <w:rFonts w:cs="Arial"/>
          <w:color w:val="000000" w:themeColor="text1"/>
        </w:rPr>
        <w:t>to climb skill-based ladders and achieve higher ranks</w:t>
      </w:r>
      <w:r w:rsidR="00197782">
        <w:rPr>
          <w:rFonts w:cs="Arial"/>
          <w:color w:val="000000" w:themeColor="text1"/>
        </w:rPr>
        <w:t xml:space="preserve"> via winning matches</w:t>
      </w:r>
      <w:r w:rsidR="00CC3AAC" w:rsidRPr="00CC3AAC">
        <w:rPr>
          <w:rFonts w:cs="Arial"/>
          <w:color w:val="000000" w:themeColor="text1"/>
        </w:rPr>
        <w:t>.</w:t>
      </w:r>
      <w:r w:rsidR="004A6E33">
        <w:rPr>
          <w:rFonts w:cs="Arial"/>
          <w:color w:val="000000" w:themeColor="text1"/>
        </w:rPr>
        <w:t xml:space="preserve"> </w:t>
      </w:r>
      <w:r w:rsidR="00172A01">
        <w:rPr>
          <w:rFonts w:cs="Arial"/>
          <w:color w:val="000000" w:themeColor="text1"/>
        </w:rPr>
        <w:t>In this environment,</w:t>
      </w:r>
      <w:r w:rsidR="001525BC">
        <w:rPr>
          <w:rFonts w:cs="Arial"/>
          <w:color w:val="000000" w:themeColor="text1"/>
        </w:rPr>
        <w:t xml:space="preserve"> millions of players </w:t>
      </w:r>
      <w:r w:rsidR="00197782">
        <w:rPr>
          <w:rFonts w:cs="Arial"/>
          <w:color w:val="000000" w:themeColor="text1"/>
        </w:rPr>
        <w:t xml:space="preserve">practice to </w:t>
      </w:r>
      <w:r w:rsidR="004A6E33">
        <w:rPr>
          <w:rFonts w:cs="Arial"/>
          <w:color w:val="000000" w:themeColor="text1"/>
        </w:rPr>
        <w:t>become</w:t>
      </w:r>
      <w:r w:rsidR="001525BC">
        <w:rPr>
          <w:rFonts w:cs="Arial"/>
          <w:color w:val="000000" w:themeColor="text1"/>
        </w:rPr>
        <w:t xml:space="preserve"> </w:t>
      </w:r>
      <w:r w:rsidR="00F360F6">
        <w:rPr>
          <w:rFonts w:cs="Arial"/>
          <w:color w:val="000000" w:themeColor="text1"/>
        </w:rPr>
        <w:t xml:space="preserve">more </w:t>
      </w:r>
      <w:r w:rsidR="00197782">
        <w:rPr>
          <w:rFonts w:cs="Arial"/>
          <w:color w:val="000000" w:themeColor="text1"/>
        </w:rPr>
        <w:t>skilled</w:t>
      </w:r>
      <w:r w:rsidR="00D82227">
        <w:rPr>
          <w:rFonts w:cs="Arial"/>
          <w:color w:val="000000" w:themeColor="text1"/>
        </w:rPr>
        <w:t>, serving as the primary talent pool for professional organisations to recruit future players</w:t>
      </w:r>
      <w:r w:rsidR="001525BC">
        <w:rPr>
          <w:rFonts w:cs="Arial"/>
          <w:color w:val="000000" w:themeColor="text1"/>
        </w:rPr>
        <w:t>.</w:t>
      </w:r>
      <w:r w:rsidR="00916CD7">
        <w:rPr>
          <w:rFonts w:cs="Arial"/>
          <w:color w:val="000000" w:themeColor="text1"/>
        </w:rPr>
        <w:t xml:space="preserve"> </w:t>
      </w:r>
    </w:p>
    <w:p w14:paraId="3C2F66CC" w14:textId="0B1437DD" w:rsidR="00D82227" w:rsidRDefault="00CC3F48" w:rsidP="00D82227">
      <w:pPr>
        <w:ind w:firstLine="720"/>
        <w:rPr>
          <w:rFonts w:cs="Arial"/>
          <w:color w:val="000000" w:themeColor="text1"/>
        </w:rPr>
      </w:pPr>
      <w:r>
        <w:rPr>
          <w:rFonts w:cs="Arial"/>
          <w:color w:val="000000" w:themeColor="text1"/>
        </w:rPr>
        <w:t>Unlike traditional sports, where much of a player</w:t>
      </w:r>
      <w:r w:rsidR="00DA1788">
        <w:rPr>
          <w:rFonts w:cs="Arial"/>
          <w:color w:val="000000" w:themeColor="text1"/>
        </w:rPr>
        <w:t>'</w:t>
      </w:r>
      <w:r>
        <w:rPr>
          <w:rFonts w:cs="Arial"/>
          <w:color w:val="000000" w:themeColor="text1"/>
        </w:rPr>
        <w:t xml:space="preserve">s development </w:t>
      </w:r>
      <w:r w:rsidR="00435885">
        <w:rPr>
          <w:rFonts w:cs="Arial"/>
          <w:color w:val="000000" w:themeColor="text1"/>
        </w:rPr>
        <w:t>occurs</w:t>
      </w:r>
      <w:r>
        <w:rPr>
          <w:rFonts w:cs="Arial"/>
          <w:color w:val="000000" w:themeColor="text1"/>
        </w:rPr>
        <w:t xml:space="preserve"> in academy systems</w:t>
      </w:r>
      <w:r w:rsidR="00820C09">
        <w:rPr>
          <w:rFonts w:cs="Arial"/>
          <w:color w:val="000000" w:themeColor="text1"/>
        </w:rPr>
        <w:t xml:space="preserve"> </w:t>
      </w:r>
      <w:r w:rsidR="00820C09">
        <w:rPr>
          <w:rFonts w:cs="Arial"/>
          <w:color w:val="000000" w:themeColor="text1"/>
        </w:rPr>
        <w:fldChar w:fldCharType="begin"/>
      </w:r>
      <w:r w:rsidR="00EC10D9">
        <w:rPr>
          <w:rFonts w:cs="Arial"/>
          <w:color w:val="000000" w:themeColor="text1"/>
        </w:rPr>
        <w:instrText xml:space="preserve"> ADDIN ZOTERO_ITEM CSL_CITATION {"citationID":"CMa5FhRY","properties":{"formattedCitation":"(Burgess &amp; Naughton, 2010)","plainCitation":"(Burgess &amp; Naughton, 2010)","noteIndex":0},"citationItems":[{"id":801,"uris":["http://zotero.org/users/13125511/items/7YLUCPJ6"],"itemData":{"id":801,"type":"article-journal","abstract":"Traditional talent development pathways for adolescents in team sports follow talent identification procedures based on subjective games ratings and isolated athletic assessment. Most talent development models are exclusive rather than inclusive in nature. Subsequently, talent identification may result in discontentment, premature stratification, or dropout from team sports. Understanding the multidimensional differences among the requirements of adolescent and elite adult athletes could provide more realistic goals for potential talented players. Coach education should include adolescent development, and rewards for team success at the adolescent level should reflect the needs of long-term player development. Effective talent development needs to incorporate physical and psychological maturity, the relative age effect, objective measures of game sense, and athletic prowess. The influences of media and culture on the individual, and the competing time demands between various competitions for player training time should be monitored and mediated where appropriate. Despite the complexity, talent development is a worthy investment in professional team sport.","container-title":"International Journal of Sports Physiology and Performance","DOI":"10.1123/ijspp.5.1.103","ISSN":"1555-0273, 1555-0265","issue":"1","language":"en","note":"publisher: Human Kinetics, Inc.\nsection: International Journal of Sports Physiology and Performance","page":"103-116","source":"journals.humankinetics.com","title":"Talent Development in Adolescent Team Sports: A Review","title-short":"Talent Development in Adolescent Team Sports","volume":"5","author":[{"family":"Burgess","given":"Darren J."},{"family":"Naughton","given":"Geraldine A."}],"issued":{"date-parts":[["2010",3,1]]},"citation-key":"burgessTalentDevelopmentAdolescent2010"}}],"schema":"https://github.com/citation-style-language/schema/raw/master/csl-citation.json"} </w:instrText>
      </w:r>
      <w:r w:rsidR="00820C09">
        <w:rPr>
          <w:rFonts w:cs="Arial"/>
          <w:color w:val="000000" w:themeColor="text1"/>
        </w:rPr>
        <w:fldChar w:fldCharType="separate"/>
      </w:r>
      <w:r w:rsidR="00820C09" w:rsidRPr="00820C09">
        <w:rPr>
          <w:rFonts w:cs="Arial"/>
        </w:rPr>
        <w:t>(Burgess &amp; Naughton, 2010)</w:t>
      </w:r>
      <w:r w:rsidR="00820C09">
        <w:rPr>
          <w:rFonts w:cs="Arial"/>
          <w:color w:val="000000" w:themeColor="text1"/>
        </w:rPr>
        <w:fldChar w:fldCharType="end"/>
      </w:r>
      <w:r>
        <w:rPr>
          <w:rFonts w:cs="Arial"/>
          <w:color w:val="000000" w:themeColor="text1"/>
        </w:rPr>
        <w:t xml:space="preserve">, most esports </w:t>
      </w:r>
      <w:r w:rsidR="00CC3AAC" w:rsidRPr="00CC3AAC">
        <w:rPr>
          <w:rFonts w:cs="Arial"/>
          <w:color w:val="000000" w:themeColor="text1"/>
        </w:rPr>
        <w:t>players</w:t>
      </w:r>
      <w:r>
        <w:rPr>
          <w:rFonts w:cs="Arial"/>
          <w:color w:val="000000" w:themeColor="text1"/>
        </w:rPr>
        <w:t xml:space="preserve"> </w:t>
      </w:r>
      <w:r w:rsidR="00CC3AAC" w:rsidRPr="00CC3AAC">
        <w:rPr>
          <w:rFonts w:cs="Arial"/>
          <w:color w:val="000000" w:themeColor="text1"/>
        </w:rPr>
        <w:t xml:space="preserve">learn in </w:t>
      </w:r>
      <w:r w:rsidR="000D1C8B">
        <w:rPr>
          <w:rFonts w:cs="Arial"/>
          <w:color w:val="000000" w:themeColor="text1"/>
        </w:rPr>
        <w:t>a primarily unstructured and self-regulated environment</w:t>
      </w:r>
      <w:r w:rsidR="008C05CA">
        <w:rPr>
          <w:rFonts w:cs="Arial"/>
          <w:color w:val="000000" w:themeColor="text1"/>
        </w:rPr>
        <w:t xml:space="preserve"> </w:t>
      </w:r>
      <w:r w:rsidR="008C05CA">
        <w:rPr>
          <w:rFonts w:cs="Arial"/>
          <w:color w:val="000000" w:themeColor="text1"/>
        </w:rPr>
        <w:fldChar w:fldCharType="begin"/>
      </w:r>
      <w:r w:rsidR="00EC10D9">
        <w:rPr>
          <w:rFonts w:cs="Arial"/>
          <w:color w:val="000000" w:themeColor="text1"/>
        </w:rPr>
        <w:instrText xml:space="preserve"> ADDIN ZOTERO_ITEM CSL_CITATION {"citationID":"0Pl3DQRI","properties":{"formattedCitation":"(Bubna et al., 2023)","plainCitation":"(Bubna et al., 2023)","noteIndex":0},"citationItems":[{"id":923,"uris":["http://zotero.org/users/13125511/items/YA97LDL2"],"itemData":{"id":923,"type":"article-journal","abstract":"&lt;p&gt;Esports is a growing phenomenon that is capturing the attention of individuals worldwide, and has grown to provide professional and lucrative careers for those who reach the upper echelons. One question that arises, is how esports athletes develop the necessary skills required to improve and compete. This perspective piece opens the door to skill acquisition within esports and how research through an ecological approach can benefit researchers and practitioners as they understand the various perception-action couplings and decision-making challenges faced by esports athletes. We will identify and discuss what constraints look like in esports, the role of affordances, and theorize the implementation of a constraints-led approach in contrasting esports genres. As esports is technology-heavy in nature and generally sedentary, the use of eye-tracking technology is argued to represent an effective method to better understand perceptual attunement between individuals and teams. Future research into skill acquisition in esports is needed to develop a clearer picture of what makes the greatest esports player so great, and how newer players can be developed effectively.&lt;/p&gt;","container-title":"Frontiers in Psychology","DOI":"10.3389/fpsyg.2023.1191801","ISSN":"1664-1078","journalAbbreviation":"Front. Psychol.","language":"English","note":"publisher: Frontiers","source":"Frontiers","title":"Coaching and talent development in esports: a theoretical framework and suggestions for future research","title-short":"Coaching and talent development in esports","URL":"https://www.frontiersin.org/journals/psychology/articles/10.3389/fpsyg.2023.1191801/full","volume":"14","author":[{"family":"Bubna","given":"Kabir"},{"family":"Trotter","given":"Michael Geoffrey"},{"family":"Watson","given":"Matthew"},{"family":"Polman","given":"Remco"}],"accessed":{"date-parts":[["2024",10,8]]},"issued":{"date-parts":[["2023",5,10]]},"citation-key":"bubnaCoachingTalentDevelopment2023"}}],"schema":"https://github.com/citation-style-language/schema/raw/master/csl-citation.json"} </w:instrText>
      </w:r>
      <w:r w:rsidR="008C05CA">
        <w:rPr>
          <w:rFonts w:cs="Arial"/>
          <w:color w:val="000000" w:themeColor="text1"/>
        </w:rPr>
        <w:fldChar w:fldCharType="separate"/>
      </w:r>
      <w:r w:rsidR="008C05CA" w:rsidRPr="008C05CA">
        <w:rPr>
          <w:rFonts w:cs="Arial"/>
        </w:rPr>
        <w:t>(Bubna et al., 2023)</w:t>
      </w:r>
      <w:r w:rsidR="008C05CA">
        <w:rPr>
          <w:rFonts w:cs="Arial"/>
          <w:color w:val="000000" w:themeColor="text1"/>
        </w:rPr>
        <w:fldChar w:fldCharType="end"/>
      </w:r>
      <w:r w:rsidR="00CC3AAC" w:rsidRPr="00CC3AAC">
        <w:rPr>
          <w:rFonts w:cs="Arial"/>
          <w:color w:val="000000" w:themeColor="text1"/>
        </w:rPr>
        <w:t>.</w:t>
      </w:r>
      <w:r w:rsidR="000D1C8B">
        <w:rPr>
          <w:rFonts w:cs="Arial"/>
          <w:color w:val="000000" w:themeColor="text1"/>
        </w:rPr>
        <w:t xml:space="preserve"> </w:t>
      </w:r>
      <w:r w:rsidR="005F310B">
        <w:rPr>
          <w:rFonts w:cs="Arial"/>
          <w:color w:val="000000" w:themeColor="text1"/>
        </w:rPr>
        <w:t xml:space="preserve">In other words, </w:t>
      </w:r>
      <w:r w:rsidR="009D78C1">
        <w:rPr>
          <w:rFonts w:cs="Arial"/>
          <w:color w:val="000000" w:themeColor="text1"/>
        </w:rPr>
        <w:t>the players themselves</w:t>
      </w:r>
      <w:r w:rsidR="005F310B">
        <w:rPr>
          <w:rFonts w:cs="Arial"/>
          <w:color w:val="000000" w:themeColor="text1"/>
        </w:rPr>
        <w:t xml:space="preserve"> </w:t>
      </w:r>
      <w:r w:rsidR="00E07AD0">
        <w:rPr>
          <w:rFonts w:cs="Arial"/>
          <w:color w:val="000000" w:themeColor="text1"/>
        </w:rPr>
        <w:t>are</w:t>
      </w:r>
      <w:r w:rsidR="005F310B">
        <w:rPr>
          <w:rFonts w:cs="Arial"/>
          <w:color w:val="000000" w:themeColor="text1"/>
        </w:rPr>
        <w:t xml:space="preserve"> responsible for devising strategies for improv</w:t>
      </w:r>
      <w:r w:rsidR="009D78C1">
        <w:rPr>
          <w:rFonts w:cs="Arial"/>
          <w:color w:val="000000" w:themeColor="text1"/>
        </w:rPr>
        <w:t>ement</w:t>
      </w:r>
      <w:r w:rsidR="00E07AD0">
        <w:rPr>
          <w:rFonts w:cs="Arial"/>
          <w:color w:val="000000" w:themeColor="text1"/>
        </w:rPr>
        <w:t xml:space="preserve">, albeit some do seek mentorship from </w:t>
      </w:r>
      <w:r w:rsidR="009D78C1">
        <w:rPr>
          <w:rFonts w:cs="Arial"/>
          <w:color w:val="000000" w:themeColor="text1"/>
        </w:rPr>
        <w:t>other skilled players or amateur coaches.</w:t>
      </w:r>
      <w:r w:rsidR="008365E3">
        <w:rPr>
          <w:rFonts w:cs="Arial"/>
          <w:color w:val="000000" w:themeColor="text1"/>
        </w:rPr>
        <w:t xml:space="preserve"> While semi-professional academy programs exist in some regions, these typically cater to relatively few players when compared with traditional sports programs that may include structured training programs and coaching for hundreds of athletes.</w:t>
      </w:r>
      <w:r w:rsidR="009D78C1">
        <w:rPr>
          <w:rFonts w:cs="Arial"/>
          <w:color w:val="000000" w:themeColor="text1"/>
        </w:rPr>
        <w:t xml:space="preserve"> </w:t>
      </w:r>
      <w:r w:rsidR="00D82227">
        <w:rPr>
          <w:rFonts w:cs="Arial"/>
          <w:color w:val="000000" w:themeColor="text1"/>
        </w:rPr>
        <w:t>For this reason, the</w:t>
      </w:r>
      <w:r w:rsidR="00DA1439">
        <w:rPr>
          <w:rFonts w:cs="Arial"/>
          <w:color w:val="000000" w:themeColor="text1"/>
        </w:rPr>
        <w:t xml:space="preserve"> esports </w:t>
      </w:r>
      <w:r w:rsidR="006302CF">
        <w:rPr>
          <w:rFonts w:cs="Arial"/>
          <w:color w:val="000000" w:themeColor="text1"/>
        </w:rPr>
        <w:t>learning</w:t>
      </w:r>
      <w:r w:rsidR="00DA1439">
        <w:rPr>
          <w:rFonts w:cs="Arial"/>
          <w:color w:val="000000" w:themeColor="text1"/>
        </w:rPr>
        <w:t xml:space="preserve"> environment</w:t>
      </w:r>
      <w:r w:rsidR="00D82227">
        <w:rPr>
          <w:rFonts w:cs="Arial"/>
          <w:color w:val="000000" w:themeColor="text1"/>
        </w:rPr>
        <w:t xml:space="preserve"> offers a novel context </w:t>
      </w:r>
      <w:r w:rsidR="00725403">
        <w:rPr>
          <w:rFonts w:cs="Arial"/>
          <w:color w:val="000000" w:themeColor="text1"/>
        </w:rPr>
        <w:t xml:space="preserve">in which </w:t>
      </w:r>
      <w:r w:rsidR="008365E3">
        <w:rPr>
          <w:rFonts w:cs="Arial"/>
          <w:color w:val="000000" w:themeColor="text1"/>
        </w:rPr>
        <w:t xml:space="preserve">to </w:t>
      </w:r>
      <w:r w:rsidR="00D82227">
        <w:rPr>
          <w:rFonts w:cs="Arial"/>
          <w:color w:val="000000" w:themeColor="text1"/>
        </w:rPr>
        <w:t>study expertise development and performance. While research has begun to explore this area</w:t>
      </w:r>
      <w:r w:rsidR="00A824E5">
        <w:rPr>
          <w:rFonts w:cs="Arial"/>
          <w:color w:val="000000" w:themeColor="text1"/>
        </w:rPr>
        <w:t xml:space="preserve"> </w:t>
      </w:r>
      <w:r w:rsidR="00A824E5">
        <w:rPr>
          <w:rFonts w:cs="Arial"/>
          <w:color w:val="000000" w:themeColor="text1"/>
        </w:rPr>
        <w:fldChar w:fldCharType="begin"/>
      </w:r>
      <w:r w:rsidR="00EC10D9">
        <w:rPr>
          <w:rFonts w:cs="Arial"/>
          <w:color w:val="000000" w:themeColor="text1"/>
        </w:rPr>
        <w:instrText xml:space="preserve"> ADDIN ZOTERO_ITEM CSL_CITATION {"citationID":"2MjWiaHp","properties":{"formattedCitation":"(M. Pluss et al., 2020; M. A. Pluss et al., 2021, 2022)","plainCitation":"(M. Pluss et al., 2020; M. A. Pluss et al., 2021, 2022)","dontUpdate":true,"noteIndex":0},"citationItems":[{"id":535,"uris":["http://zotero.org/users/13125511/items/F87BYPVP"],"itemData":{"id":535,"type":"article-journal","abstract":"The current study aimed to investigate the perceptual-motor abilities of esports players using an expert/nonexpert paradigm. A total of 75 participants (age: 24.17 ± 4.24 y, sex: male = 64, female = 11) were subdivided in accordance to their expertise level (i.e. professional: n = 25, recreational: n = 25 and control: n = 25). The perceptual-motor abilities assessed were manual dexterity, the speed-accuracy trade-off and a variety of response times. Groupwise differences were examined using multivariate and univariate analyses of variance. A significant multivariate effect of expertise level on performance characteristics was identified (p &lt; .001, ηp 2 = .35). Significant univariate effects were identified on the movement time (p &lt; .001, ηp 2 = .42), two-choice response time (p = .038, ηp 2 = .09), congruent precue response time (p = .010, ηp 2 = .12) and incongruent precue response time (p = .047, ηp 2 = .08). Professional esports players were less susceptible to the speed-accuracy trade-off when compared with recreational esports players and a control group. Furthermore, professional esports players demonstrated faster two-choice response times and were better at using or ignoring information preceding a stimulus to inform subsequent action when compared with the control group. Collectively, some perceptual-motor abilities may underlie expertise in esports, yet their ability to distinguish between professional and recreational esports players is limited. Future research should include more domain-specific measures to fully capture the underlying characteristics of expert esports players.","container-title":"Journal of Expertise","issue":"2","page":"133-143","source":"the University of Groningen research portal","title":"Perceptual-motor Abilities Underlying Expertise in Esports","volume":"3","author":[{"family":"Pluss","given":"Matthew"},{"family":"Novak","given":"Andrew R"},{"family":"Bennett","given":"Kyle J M"},{"family":"Panchuk","given":"Derek"},{"family":"Coutts","given":"Aaron J"},{"family":"Fransen","given":"Job"},{"family":"Pluss","given":"Matthew"}],"issued":{"date-parts":[["2020",6]]},"citation-key":"plussPerceptualmotorAbilitiesUnderlying2020"}},{"id":582,"uris":["http://zotero.org/users/13125511/items/6EUJXN6L"],"itemData":{"id":582,"type":"article-journal","container-title":"The Journal of Sport &amp; Exercise Science","issue":"1","page":"69-76","title":"The relationship between the quantity of practice and in-game performance during practice with tournament performance in esports: An eight-week study","volume":"5","author":[{"family":"Pluss","given":"Matthew A."},{"family":"Novak","given":"Andrew R"},{"family":"Bennett","given":"Kyle J M"},{"family":"Panchuk","given":"Derek"},{"family":"Coutts","given":"Aaron J"},{"family":"Fransen","given":"Job"}],"issued":{"date-parts":[["2021"]]},"citation-key":"plussRelationshipQuantityPractice2021"}},{"id":536,"uris":["http://zotero.org/users/13125511/items/Y7YMWGJ4"],"itemData":{"id":536,"type":"article-journal","abstract":"This study followed a longitudinal design to objectively monitor practice behaviors of professional and semi-professional esports players over a year. Publicly available data were collected from 30 male Counter-Strike: Global Offensive players (age: 23.76 ± 2.88y). Players were classified into two groups: professional (n = 18) or semi-professional (n = 12). The total hours of practice (all game-specific practice) and the competitive hours of practice (time spent in competitive modes only) were collected weekly. Generalised Estimating Equations were used to compare the practice behaviors of the two groups. Professional and semi-professional esports players completed an average of 30.9 ± 8.2 h and 24.7 ± 3.6 h per week of total game-specific practice, respectively, and 19.6 ± 6.9 and 15.0 ± 2.7 h of competitive practice, respectively. A significant week</w:instrText>
      </w:r>
      <w:r w:rsidR="00EC10D9">
        <w:rPr>
          <w:rFonts w:ascii="Cambria Math" w:hAnsi="Cambria Math" w:cs="Cambria Math"/>
          <w:color w:val="000000" w:themeColor="text1"/>
        </w:rPr>
        <w:instrText>∗</w:instrText>
      </w:r>
      <w:r w:rsidR="00EC10D9">
        <w:rPr>
          <w:rFonts w:cs="Arial"/>
          <w:color w:val="000000" w:themeColor="text1"/>
        </w:rPr>
        <w:instrText xml:space="preserve">group interaction was observed for total practice time (Wald χ2 = 9.48, p = 0.002) and total competition practice time (Wald χ2 = 7.54, p = 0.006). Specifically, professional esports players completed 6.6 (SE = 2.2) hr per week more of total practice hours than semi-professional players, of which 4.8 (SE = 1.8) hr were competitive practice. This sample of expert esports performers complete high volumes of practice which can be monitored via publicly accessible repositories.","container-title":"Computers in Human Behavior","DOI":"10.1016/j.chb.2022.107421","ISSN":"0747-5632","journalAbbreviation":"Computers in Human Behavior","page":"107421","source":"ScienceDirect","title":"Examining the game-specific practice behaviors of professional and semi-professional esports players: A 52-week longitudinal study","title-short":"Examining the game-specific practice behaviors of professional and semi-professional esports players","volume":"137","author":[{"family":"Pluss","given":"Matthew A."},{"family":"Novak","given":"Andrew R."},{"family":"Bennett","given":"Kyle J. M."},{"family":"McBride","given":"Ignatius"},{"family":"Panchuk","given":"Derek"},{"family":"Coutts","given":"Aaron J."},{"family":"Fransen","given":"Job"}],"issued":{"date-parts":[["2022",12,1]]},"citation-key":"plussExaminingGamespecificPractice2022"}}],"schema":"https://github.com/citation-style-language/schema/raw/master/csl-citation.json"} </w:instrText>
      </w:r>
      <w:r w:rsidR="00A824E5">
        <w:rPr>
          <w:rFonts w:cs="Arial"/>
          <w:color w:val="000000" w:themeColor="text1"/>
        </w:rPr>
        <w:fldChar w:fldCharType="separate"/>
      </w:r>
      <w:r w:rsidR="00A824E5" w:rsidRPr="00A824E5">
        <w:rPr>
          <w:rFonts w:cs="Arial"/>
        </w:rPr>
        <w:t>(Pluss et al., 2020; Pluss et al., 2021, 2022)</w:t>
      </w:r>
      <w:r w:rsidR="00A824E5">
        <w:rPr>
          <w:rFonts w:cs="Arial"/>
          <w:color w:val="000000" w:themeColor="text1"/>
        </w:rPr>
        <w:fldChar w:fldCharType="end"/>
      </w:r>
      <w:r w:rsidR="00D82227">
        <w:rPr>
          <w:rFonts w:cs="Arial"/>
          <w:color w:val="000000" w:themeColor="text1"/>
        </w:rPr>
        <w:t xml:space="preserve">, </w:t>
      </w:r>
      <w:r w:rsidR="00512D29">
        <w:rPr>
          <w:rFonts w:cs="Arial"/>
          <w:color w:val="000000" w:themeColor="text1"/>
        </w:rPr>
        <w:t>a substantial evidence gap</w:t>
      </w:r>
      <w:r w:rsidR="00B72F07">
        <w:rPr>
          <w:rFonts w:cs="Arial"/>
          <w:color w:val="000000" w:themeColor="text1"/>
        </w:rPr>
        <w:t xml:space="preserve"> remains</w:t>
      </w:r>
      <w:r w:rsidR="00FD27A8">
        <w:rPr>
          <w:rFonts w:cs="Arial"/>
          <w:color w:val="000000" w:themeColor="text1"/>
        </w:rPr>
        <w:t xml:space="preserve">, </w:t>
      </w:r>
      <w:r w:rsidR="00D82227">
        <w:rPr>
          <w:rFonts w:cs="Arial"/>
          <w:color w:val="000000" w:themeColor="text1"/>
        </w:rPr>
        <w:t>particularly concerning the practice behaviours that contribute to expertise in esports</w:t>
      </w:r>
      <w:r w:rsidR="00FD27A8">
        <w:rPr>
          <w:rFonts w:cs="Arial"/>
          <w:color w:val="000000" w:themeColor="text1"/>
        </w:rPr>
        <w:t>. In contrast, scientific investigation</w:t>
      </w:r>
      <w:r w:rsidR="006C53D1">
        <w:rPr>
          <w:rFonts w:cs="Arial"/>
          <w:color w:val="000000" w:themeColor="text1"/>
        </w:rPr>
        <w:t>s</w:t>
      </w:r>
      <w:r w:rsidR="00FD27A8">
        <w:rPr>
          <w:rFonts w:cs="Arial"/>
          <w:color w:val="000000" w:themeColor="text1"/>
        </w:rPr>
        <w:t xml:space="preserve"> in traditional sports </w:t>
      </w:r>
      <w:r w:rsidR="006C53D1">
        <w:rPr>
          <w:rFonts w:cs="Arial"/>
          <w:color w:val="000000" w:themeColor="text1"/>
        </w:rPr>
        <w:t>are more abundant</w:t>
      </w:r>
      <w:r w:rsidR="00D82227">
        <w:rPr>
          <w:rFonts w:cs="Arial"/>
          <w:color w:val="000000" w:themeColor="text1"/>
        </w:rPr>
        <w:t xml:space="preserve">, </w:t>
      </w:r>
      <w:r w:rsidR="00D60199">
        <w:rPr>
          <w:rFonts w:cs="Arial"/>
          <w:color w:val="000000" w:themeColor="text1"/>
        </w:rPr>
        <w:t>offe</w:t>
      </w:r>
      <w:r w:rsidR="00D82227">
        <w:rPr>
          <w:rFonts w:cs="Arial"/>
          <w:color w:val="000000" w:themeColor="text1"/>
        </w:rPr>
        <w:t xml:space="preserve">ring </w:t>
      </w:r>
      <w:r w:rsidR="00D60199">
        <w:rPr>
          <w:rFonts w:cs="Arial"/>
          <w:color w:val="000000" w:themeColor="text1"/>
        </w:rPr>
        <w:t xml:space="preserve">insights into the volume and type of practice activities that might lead </w:t>
      </w:r>
      <w:r w:rsidR="00BB3FB3">
        <w:rPr>
          <w:rFonts w:cs="Arial"/>
          <w:color w:val="000000" w:themeColor="text1"/>
        </w:rPr>
        <w:t>to world-class performance</w:t>
      </w:r>
      <w:r w:rsidR="00D054CC">
        <w:rPr>
          <w:rFonts w:cs="Arial"/>
          <w:color w:val="000000" w:themeColor="text1"/>
        </w:rPr>
        <w:t xml:space="preserve"> </w:t>
      </w:r>
      <w:r w:rsidR="00D054CC">
        <w:rPr>
          <w:rFonts w:cs="Arial"/>
          <w:color w:val="000000" w:themeColor="text1"/>
        </w:rPr>
        <w:fldChar w:fldCharType="begin"/>
      </w:r>
      <w:r w:rsidR="00EC10D9">
        <w:rPr>
          <w:rFonts w:cs="Arial"/>
          <w:color w:val="000000" w:themeColor="text1"/>
        </w:rPr>
        <w:instrText xml:space="preserve"> ADDIN ZOTERO_ITEM CSL_CITATION {"citationID":"NWVv9xYD","properties":{"formattedCitation":"(Rees et al., 2016)","plainCitation":"(Rees et al., 2016)","noteIndex":0},"citationItems":[{"id":371,"uris":["http://zotero.org/users/13125511/items/VSQUCDPG"],"itemData":{"id":371,"type":"article-journal","abstract":"The literature base regarding the development of sporting talent is extensive, and includes empirical articles, reviews, position papers, academic books, governing body documents, popular books, unpublished theses and anecdotal evidence, and contains numerous models of talent development. With such a varied body of work, the task for researchers, practitioners and policy makers of generating a clear understanding of what is known and what is thought to be true regarding the development of sporting talent is particularly challenging. Drawing on a wide array of expertise, we address this challenge by avoiding adherence to any specific model or area and by providing a reasoned review across three key overarching topics: (a) the performer; (b) the environment; and (c) practice and training. Within each topic sub-section, we review and calibrate evidence by performance level of the samples. We then conclude each sub-section with a brief summary, a rating of the quality of evidence, a recommendation for practice and suggestions for future research. These serve to highlight both our current level of understanding and our level of confidence in providing practice recommendations, but also point to a need for future studies that could offer evidence regarding the complex interactions that almost certainly exist across domains.","container-title":"Sports Medicine","DOI":"10.1007/s40279-016-0476-2","ISSN":"1179-2035","issue":"8","journalAbbreviation":"Sports Med","language":"en","page":"1041-1058","source":"Springer Link","title":"The Great British Medalists Project: A Review of Current Knowledge on the Development of the World’s Best Sporting Talent","title-short":"The Great British Medalists Project","volume":"46","author":[{"family":"Rees","given":"Tim"},{"family":"Hardy","given":"Lew"},{"family":"Güllich","given":"Arne"},{"family":"Abernethy","given":"Bruce"},{"family":"Côté","given":"Jean"},{"family":"Woodman","given":"Tim"},{"family":"Montgomery","given":"Hugh"},{"family":"Laing","given":"Stewart"},{"family":"Warr","given":"Chelsea"}],"issued":{"date-parts":[["2016",8,1]]},"citation-key":"reesGreatBritishMedalists2016"}}],"schema":"https://github.com/citation-style-language/schema/raw/master/csl-citation.json"} </w:instrText>
      </w:r>
      <w:r w:rsidR="00D054CC">
        <w:rPr>
          <w:rFonts w:cs="Arial"/>
          <w:color w:val="000000" w:themeColor="text1"/>
        </w:rPr>
        <w:fldChar w:fldCharType="separate"/>
      </w:r>
      <w:r w:rsidR="00D054CC" w:rsidRPr="00D054CC">
        <w:rPr>
          <w:rFonts w:cs="Arial"/>
        </w:rPr>
        <w:t>(Rees et al., 2016)</w:t>
      </w:r>
      <w:r w:rsidR="00D054CC">
        <w:rPr>
          <w:rFonts w:cs="Arial"/>
          <w:color w:val="000000" w:themeColor="text1"/>
        </w:rPr>
        <w:fldChar w:fldCharType="end"/>
      </w:r>
      <w:r w:rsidR="00BB3FB3">
        <w:rPr>
          <w:rFonts w:cs="Arial"/>
          <w:color w:val="000000" w:themeColor="text1"/>
        </w:rPr>
        <w:t xml:space="preserve">. </w:t>
      </w:r>
      <w:r w:rsidR="00D82227">
        <w:rPr>
          <w:rFonts w:cs="Arial"/>
          <w:color w:val="000000" w:themeColor="text1"/>
        </w:rPr>
        <w:t>Many of these studies</w:t>
      </w:r>
      <w:r w:rsidR="00BB3FB3">
        <w:rPr>
          <w:rFonts w:cs="Arial"/>
          <w:color w:val="000000" w:themeColor="text1"/>
        </w:rPr>
        <w:t xml:space="preserve"> </w:t>
      </w:r>
      <w:r w:rsidR="008365E3">
        <w:rPr>
          <w:rFonts w:cs="Arial"/>
          <w:color w:val="000000" w:themeColor="text1"/>
        </w:rPr>
        <w:t xml:space="preserve">use </w:t>
      </w:r>
      <w:r w:rsidR="00BB3FB3">
        <w:rPr>
          <w:rFonts w:cs="Arial"/>
          <w:color w:val="000000" w:themeColor="text1"/>
        </w:rPr>
        <w:t>retrospective recall technique</w:t>
      </w:r>
      <w:r w:rsidR="00FB4E10">
        <w:rPr>
          <w:rFonts w:cs="Arial"/>
          <w:color w:val="000000" w:themeColor="text1"/>
        </w:rPr>
        <w:t>s</w:t>
      </w:r>
      <w:r w:rsidR="00BB3FB3">
        <w:rPr>
          <w:rFonts w:cs="Arial"/>
          <w:color w:val="000000" w:themeColor="text1"/>
        </w:rPr>
        <w:t xml:space="preserve">, where </w:t>
      </w:r>
      <w:r w:rsidR="00A23636">
        <w:rPr>
          <w:rFonts w:cs="Arial"/>
          <w:color w:val="000000" w:themeColor="text1"/>
        </w:rPr>
        <w:t>athletes</w:t>
      </w:r>
      <w:r w:rsidR="00BB3FB3">
        <w:rPr>
          <w:rFonts w:cs="Arial"/>
          <w:color w:val="000000" w:themeColor="text1"/>
        </w:rPr>
        <w:t xml:space="preserve"> </w:t>
      </w:r>
      <w:r w:rsidR="00C24761">
        <w:rPr>
          <w:rFonts w:cs="Arial"/>
          <w:color w:val="000000" w:themeColor="text1"/>
        </w:rPr>
        <w:t>document or discuss their developmental histories through questionnaire</w:t>
      </w:r>
      <w:r w:rsidR="00307F43">
        <w:rPr>
          <w:rFonts w:cs="Arial"/>
          <w:color w:val="000000" w:themeColor="text1"/>
        </w:rPr>
        <w:t>s</w:t>
      </w:r>
      <w:r w:rsidR="00C24761">
        <w:rPr>
          <w:rFonts w:cs="Arial"/>
          <w:color w:val="000000" w:themeColor="text1"/>
        </w:rPr>
        <w:t xml:space="preserve"> or interviews</w:t>
      </w:r>
      <w:r w:rsidR="00D054CC">
        <w:rPr>
          <w:rFonts w:cs="Arial"/>
          <w:color w:val="000000" w:themeColor="text1"/>
        </w:rPr>
        <w:t xml:space="preserve"> </w:t>
      </w:r>
      <w:r w:rsidR="00D054CC">
        <w:rPr>
          <w:rFonts w:cs="Arial"/>
          <w:color w:val="000000" w:themeColor="text1"/>
        </w:rPr>
        <w:fldChar w:fldCharType="begin"/>
      </w:r>
      <w:r w:rsidR="00EC10D9">
        <w:rPr>
          <w:rFonts w:cs="Arial"/>
          <w:color w:val="000000" w:themeColor="text1"/>
        </w:rPr>
        <w:instrText xml:space="preserve"> ADDIN ZOTERO_ITEM CSL_CITATION {"citationID":"aQx1JkyJ","properties":{"formattedCitation":"(Ford et al., 2009; G\\uc0\\u252{}llich, 2014)","plainCitation":"(Ford et al., 2009; Güllich, 2014)","dontUpdate":true,"noteIndex":0},"citationItems":[{"id":377,"uris":["http://zotero.org/users/13125511/items/BIMIFCCR"],"itemData":{"id":377,"type":"article-journal","abstract":"Experts acquire domain</w:instrText>
      </w:r>
      <w:r w:rsidR="00EC10D9">
        <w:rPr>
          <w:rFonts w:ascii="Cambria Math" w:hAnsi="Cambria Math" w:cs="Cambria Math"/>
          <w:color w:val="000000" w:themeColor="text1"/>
        </w:rPr>
        <w:instrText>‐</w:instrText>
      </w:r>
      <w:r w:rsidR="00EC10D9">
        <w:rPr>
          <w:rFonts w:cs="Arial"/>
          <w:color w:val="000000" w:themeColor="text1"/>
        </w:rPr>
        <w:instrText>specific skills as a result of the activities in which they participate throughout their development. We examine the domain</w:instrText>
      </w:r>
      <w:r w:rsidR="00EC10D9">
        <w:rPr>
          <w:rFonts w:ascii="Cambria Math" w:hAnsi="Cambria Math" w:cs="Cambria Math"/>
          <w:color w:val="000000" w:themeColor="text1"/>
        </w:rPr>
        <w:instrText>‐</w:instrText>
      </w:r>
      <w:r w:rsidR="00EC10D9">
        <w:rPr>
          <w:rFonts w:cs="Arial"/>
          <w:color w:val="000000" w:themeColor="text1"/>
        </w:rPr>
        <w:instrText xml:space="preserve">specific activities in which two groups of elite y...","archive_location":"world","container-title":"High Ability Studies","DOI":"10.1080/13598130902860721","language":"EN","license":"Copyright European Council for High Ability","note":"publisher: Routledge","source":"www.tandfonline.com","title":"The role of deliberate practice and play in career progression in sport: the early engagement hypothesis","title-short":"The role of deliberate practice and play in career progression in sport","URL":"https://www.tandfonline.com/doi/abs/10.1080/13598130902860721","author":[{"family":"Ford","given":"Paul R."},{"family":"Ward","given":"Paul"},{"family":"Hodges","given":"Nicola J."},{"family":"Williams","given":"A. Mark"}],"accessed":{"date-parts":[["2024",2,28]]},"issued":{"date-parts":[["2009",6,1]]},"citation-key":"fordRoleDeliberatePractice2009"}},{"id":457,"uris":["http://zotero.org/users/13125511/items/46YN8CDV"],"itemData":{"id":457,"type":"article-journal","abstract":"This study examined the developmental sporting activities of the Olympic Champions 2012 in men's field hockey. The volume of organised practice/training and non-organised sporting leisure play in both field hockey and other sports through childhood, adolescence and adulthood was examined and compared between the Olympic Champions and (1) current national class players and (2) international medallists of one decade earlier. Analyses revealed that the Olympic Champions performed moderate volumes of organised field hockey practice/training throughout their career and attained their first international senior medal after accumulating 4393 ± 1389 practice/training hours, but they engaged in extensive other sporting activities during childhood and youth. It took them 18 ± 3 years of involvement to attain an international medal and they had engaged for 22 ± 3 years when winning the Olympic gold medal. The Olympic Champions did not differ from national class players in the amount of hockey-specific practice/training, but in greater amounts of organised involvement in other sports and later specialisation. They differed from the international medallists of one decade earlier in less increase of organised hockey-specific practice/training during adulthood and a longer period of involvement until attaining their first international medal. The sporting activities were characterised by sizeable interindividual variation within each subsample. The findings are reflected against the deliberate practice and Developmental Model of Sports Participation (DMSP) frameworks and are discussed with reference to the concept of long-term sustainability. (PsycInfo Database Record (c) 2022 APA, all rights reserved)","container-title":"European Journal of Sport Science","DOI":"10.1080/17461391.2014.905983","ISSN":"1536-7290","issue":"8","note":"publisher-place: United Kingdom\npublisher: Taylor &amp; Francis","page":"763-771","source":"APA PsycNet","title":"Many roads lead to Rome—Developmental paths to Olympic gold in men's field hockey","volume":"14","author":[{"family":"Güllich","given":"Arne"}],"issued":{"date-parts":[["2014"]]},"citation-key":"gullichManyRoadsLead2014"}}],"schema":"https://github.com/citation-style-language/schema/raw/master/csl-citation.json"} </w:instrText>
      </w:r>
      <w:r w:rsidR="00D054CC">
        <w:rPr>
          <w:rFonts w:cs="Arial"/>
          <w:color w:val="000000" w:themeColor="text1"/>
        </w:rPr>
        <w:fldChar w:fldCharType="separate"/>
      </w:r>
      <w:r w:rsidR="00D054CC" w:rsidRPr="00D054CC">
        <w:rPr>
          <w:rFonts w:cs="Arial"/>
          <w:szCs w:val="24"/>
        </w:rPr>
        <w:t>(</w:t>
      </w:r>
      <w:r w:rsidR="000D1AC5">
        <w:rPr>
          <w:rFonts w:cs="Arial"/>
          <w:szCs w:val="24"/>
        </w:rPr>
        <w:t xml:space="preserve">e.g., </w:t>
      </w:r>
      <w:r w:rsidR="00D054CC" w:rsidRPr="00D054CC">
        <w:rPr>
          <w:rFonts w:cs="Arial"/>
          <w:szCs w:val="24"/>
        </w:rPr>
        <w:t>Ford et al., 2009; Güllich, 2014)</w:t>
      </w:r>
      <w:r w:rsidR="00D054CC">
        <w:rPr>
          <w:rFonts w:cs="Arial"/>
          <w:color w:val="000000" w:themeColor="text1"/>
        </w:rPr>
        <w:fldChar w:fldCharType="end"/>
      </w:r>
      <w:r w:rsidR="00C24761">
        <w:rPr>
          <w:rFonts w:cs="Arial"/>
          <w:color w:val="000000" w:themeColor="text1"/>
        </w:rPr>
        <w:t>.</w:t>
      </w:r>
      <w:r w:rsidR="00F42BD4">
        <w:rPr>
          <w:rFonts w:cs="Arial"/>
          <w:color w:val="000000" w:themeColor="text1"/>
        </w:rPr>
        <w:t xml:space="preserve"> While adopting a similar study design in esports might address the evidence gap, </w:t>
      </w:r>
      <w:r w:rsidR="000A76D8">
        <w:rPr>
          <w:rFonts w:cs="Arial"/>
          <w:color w:val="000000" w:themeColor="text1"/>
        </w:rPr>
        <w:t xml:space="preserve">methodological </w:t>
      </w:r>
      <w:r w:rsidR="008365E3">
        <w:rPr>
          <w:rFonts w:cs="Arial"/>
          <w:color w:val="000000" w:themeColor="text1"/>
        </w:rPr>
        <w:t>limitations</w:t>
      </w:r>
      <w:r w:rsidR="00D82227">
        <w:rPr>
          <w:rFonts w:cs="Arial"/>
          <w:color w:val="000000" w:themeColor="text1"/>
        </w:rPr>
        <w:t xml:space="preserve">, such as </w:t>
      </w:r>
      <w:r w:rsidR="00D82227">
        <w:rPr>
          <w:rFonts w:cs="Arial"/>
          <w:color w:val="000000" w:themeColor="text1"/>
        </w:rPr>
        <w:lastRenderedPageBreak/>
        <w:t xml:space="preserve">estimation errors or misremembering of milestones, </w:t>
      </w:r>
      <w:r w:rsidR="000A76D8">
        <w:rPr>
          <w:rFonts w:cs="Arial"/>
          <w:color w:val="000000" w:themeColor="text1"/>
        </w:rPr>
        <w:t>impact the ability of researchers to</w:t>
      </w:r>
      <w:r w:rsidR="008365E3">
        <w:rPr>
          <w:rFonts w:cs="Arial"/>
          <w:color w:val="000000" w:themeColor="text1"/>
        </w:rPr>
        <w:t xml:space="preserve"> collect accurate data with which to</w:t>
      </w:r>
      <w:r w:rsidR="000A76D8">
        <w:rPr>
          <w:rFonts w:cs="Arial"/>
          <w:color w:val="000000" w:themeColor="text1"/>
        </w:rPr>
        <w:t xml:space="preserve"> draw inferences</w:t>
      </w:r>
      <w:r w:rsidR="00CE3745">
        <w:rPr>
          <w:rFonts w:cs="Arial"/>
          <w:color w:val="000000" w:themeColor="text1"/>
        </w:rPr>
        <w:t xml:space="preserve"> and offer practical implications</w:t>
      </w:r>
      <w:r w:rsidR="00854FEE">
        <w:rPr>
          <w:rFonts w:cs="Arial"/>
          <w:color w:val="000000" w:themeColor="text1"/>
        </w:rPr>
        <w:t xml:space="preserve"> </w:t>
      </w:r>
      <w:r w:rsidR="00854FEE">
        <w:rPr>
          <w:rFonts w:cs="Arial"/>
          <w:color w:val="000000" w:themeColor="text1"/>
        </w:rPr>
        <w:fldChar w:fldCharType="begin"/>
      </w:r>
      <w:r w:rsidR="00EC10D9">
        <w:rPr>
          <w:rFonts w:cs="Arial"/>
          <w:color w:val="000000" w:themeColor="text1"/>
        </w:rPr>
        <w:instrText xml:space="preserve"> ADDIN ZOTERO_ITEM CSL_CITATION {"citationID":"EJujPX4c","properties":{"formattedCitation":"(Howard, 2011)","plainCitation":"(Howard, 2011)","noteIndex":0},"citationItems":[{"id":459,"uris":["http://zotero.org/users/13125511/items/KJJNGYC4"],"itemData":{"id":459,"type":"article-journal","abstract":"Expertise typically develops slowly over years, and controlled experiments to study its development may be impractical. Researchers often use a correlational, retrospective recall method in which participants recall career data, sometimes over many years before. However, recall accuracy is uncertain. The present study investigated the accuracy of recalled career data for up to 38 years, in over 600 international chess players. Participants’ estimates of their entry year into international chess, total career games played, and number of games in a typical year were compared with the known true values. Entry year typically was recalled fairly accurately, and accuracy did not diminish systematically with time since list entry from 10 years earlier to 25 or more years earlier. On average, games-count estimates were reasonably accurate. However, some participants were very inaccurate, and some were more inaccurate in their total-games counts and entry-year estimates. The retrospective recall method yields usable data but may have some accuracy problems. Possible remedies are outlined.","container-title":"Behavior Research Methods","DOI":"10.3758/s13428-011-0120-x","ISSN":"1554-3528","issue":"4","journalAbbreviation":"Behav Res","language":"en","page":"931-941","source":"Springer Link","title":"Testing the accuracy of the retrospective recall method used in expertise research","volume":"43","author":[{"family":"Howard","given":"Robert W."}],"issued":{"date-parts":[["2011",12,1]]},"citation-key":"howardTestingAccuracyRetrospective2011"}}],"schema":"https://github.com/citation-style-language/schema/raw/master/csl-citation.json"} </w:instrText>
      </w:r>
      <w:r w:rsidR="00854FEE">
        <w:rPr>
          <w:rFonts w:cs="Arial"/>
          <w:color w:val="000000" w:themeColor="text1"/>
        </w:rPr>
        <w:fldChar w:fldCharType="separate"/>
      </w:r>
      <w:r w:rsidR="00854FEE" w:rsidRPr="00854FEE">
        <w:rPr>
          <w:rFonts w:cs="Arial"/>
        </w:rPr>
        <w:t>(Howard, 2011)</w:t>
      </w:r>
      <w:r w:rsidR="00854FEE">
        <w:rPr>
          <w:rFonts w:cs="Arial"/>
          <w:color w:val="000000" w:themeColor="text1"/>
        </w:rPr>
        <w:fldChar w:fldCharType="end"/>
      </w:r>
      <w:r w:rsidR="00593BF5">
        <w:rPr>
          <w:rFonts w:cs="Arial"/>
          <w:color w:val="000000" w:themeColor="text1"/>
        </w:rPr>
        <w:t xml:space="preserve">. </w:t>
      </w:r>
    </w:p>
    <w:p w14:paraId="74833C21" w14:textId="6FCDCC54" w:rsidR="008A0F4E" w:rsidRDefault="00701B78" w:rsidP="005165DE">
      <w:pPr>
        <w:ind w:firstLine="720"/>
        <w:rPr>
          <w:rFonts w:cs="Arial"/>
          <w:color w:val="000000" w:themeColor="text1"/>
        </w:rPr>
      </w:pPr>
      <w:r>
        <w:rPr>
          <w:rFonts w:cs="Arial"/>
          <w:color w:val="000000" w:themeColor="text1"/>
        </w:rPr>
        <w:t xml:space="preserve">An alternative approach </w:t>
      </w:r>
      <w:r w:rsidR="009E19E5">
        <w:rPr>
          <w:rFonts w:cs="Arial"/>
          <w:color w:val="000000" w:themeColor="text1"/>
        </w:rPr>
        <w:t xml:space="preserve">researchers can use in esports is accessing and analysing data repositories </w:t>
      </w:r>
      <w:r w:rsidR="00A23636">
        <w:rPr>
          <w:rFonts w:cs="Arial"/>
          <w:color w:val="000000" w:themeColor="text1"/>
        </w:rPr>
        <w:t>available through the game developer</w:t>
      </w:r>
      <w:r w:rsidR="00050096">
        <w:rPr>
          <w:rFonts w:cs="Arial"/>
          <w:color w:val="000000" w:themeColor="text1"/>
        </w:rPr>
        <w:t xml:space="preserve"> </w:t>
      </w:r>
      <w:r w:rsidR="00EC10D9">
        <w:rPr>
          <w:rFonts w:cs="Arial"/>
          <w:color w:val="000000" w:themeColor="text1"/>
        </w:rPr>
        <w:fldChar w:fldCharType="begin"/>
      </w:r>
      <w:r w:rsidR="00EC10D9">
        <w:rPr>
          <w:rFonts w:cs="Arial"/>
          <w:color w:val="000000" w:themeColor="text1"/>
        </w:rPr>
        <w:instrText xml:space="preserve"> ADDIN ZOTERO_ITEM CSL_CITATION {"citationID":"evO1kqnI","properties":{"formattedCitation":"(Deng et al., 2024)","plainCitation":"(Deng et al., 2024)","noteIndex":0},"citationItems":[{"id":937,"uris":["http://zotero.org/users/13125511/items/TGWNRVHT"],"itemData":{"id":937,"type":"paper-conference","abstract":"Among athletes and sports fans, it is common to believe that one victory leads to another. Such an effect is known as the hot-hand effect or, simply, a winning streak. This effect was most often associated with traditional sports, however, people participating in electronic sports also tend to believe in it. To explore this venue, we collected 597,680 matches from top players in League of Legends, one of the largest esports games in the world, and analyzed the match data. The findings showed significant but small correlations: winning streaks were associated with improved performance while losing streaks correlated with decreased performance. Players also typically maintained the same champion and lane during winning streaks and tended to switch during losing streaks. Consistency in champion and lane selection was associated with better performance overall. Players also took longer breaks after both winning and losing streaks, which slightly improved performance following losses but had no significant effect after wins. This paper is one of the first ones to test the hot-hand effect with big data in the esports context. Future studies should include players of varying skill levels and regions, incorporate additional performance metrics, and utilize qualitative methods to capture a more comprehensive understanding of player behavior and psychology.","collection-title":"CHI PLAY Companion '24","container-title":"Companion Proceedings of the 2024 Annual Symposium on Computer-Human Interaction in Play","DOI":"10.1145/3665463.3678787","event-place":"New York, NY, USA","ISBN":"9798400706929","page":"50–55","publisher":"Association for Computing Machinery","publisher-place":"New York, NY, USA","source":"ACM Digital Library","title":"Streaks and Coping: Decoding Player Performance in League of Legends Using Big Data from Top Players' Matches","title-short":"Streaks and Coping","URL":"https://dl.acm.org/doi/10.1145/3665463.3678787","author":[{"family":"Deng","given":"Dion"},{"family":"Trepanowski","given":"Radosław"},{"family":"Li","given":"Mingrui"},{"family":"Zhang","given":"Yin"},{"family":"Bujić","given":"Mila"},{"family":"Hamari","given":"Juho"}],"accessed":{"date-parts":[["2024",10,15]]},"issued":{"date-parts":[["2024",10,14]]},"citation-key":"dengStreaksCopingDecoding2024a"}}],"schema":"https://github.com/citation-style-language/schema/raw/master/csl-citation.json"} </w:instrText>
      </w:r>
      <w:r w:rsidR="00EC10D9">
        <w:rPr>
          <w:rFonts w:cs="Arial"/>
          <w:color w:val="000000" w:themeColor="text1"/>
        </w:rPr>
        <w:fldChar w:fldCharType="separate"/>
      </w:r>
      <w:r w:rsidR="00EC10D9" w:rsidRPr="00EC10D9">
        <w:rPr>
          <w:rFonts w:cs="Arial"/>
        </w:rPr>
        <w:t>(Deng et al., 2024)</w:t>
      </w:r>
      <w:r w:rsidR="00EC10D9">
        <w:rPr>
          <w:rFonts w:cs="Arial"/>
          <w:color w:val="000000" w:themeColor="text1"/>
        </w:rPr>
        <w:fldChar w:fldCharType="end"/>
      </w:r>
      <w:r w:rsidR="00A23636">
        <w:rPr>
          <w:rFonts w:cs="Arial"/>
          <w:color w:val="000000" w:themeColor="text1"/>
        </w:rPr>
        <w:t xml:space="preserve">. </w:t>
      </w:r>
      <w:r w:rsidR="00587BB8">
        <w:rPr>
          <w:rFonts w:cs="Arial"/>
          <w:color w:val="000000" w:themeColor="text1"/>
        </w:rPr>
        <w:t>For example,</w:t>
      </w:r>
      <w:r w:rsidR="00FB1EDB">
        <w:rPr>
          <w:rFonts w:cs="Arial"/>
          <w:color w:val="000000" w:themeColor="text1"/>
        </w:rPr>
        <w:t xml:space="preserve"> Riot Games</w:t>
      </w:r>
      <w:r w:rsidR="00D82227">
        <w:rPr>
          <w:rFonts w:cs="Arial"/>
          <w:color w:val="000000" w:themeColor="text1"/>
        </w:rPr>
        <w:t xml:space="preserve"> – </w:t>
      </w:r>
      <w:r w:rsidR="00FB1EDB">
        <w:rPr>
          <w:rFonts w:cs="Arial"/>
          <w:color w:val="000000" w:themeColor="text1"/>
        </w:rPr>
        <w:t>the developer of League of Legends</w:t>
      </w:r>
      <w:r w:rsidR="00D82227">
        <w:rPr>
          <w:rFonts w:cs="Arial"/>
          <w:color w:val="000000" w:themeColor="text1"/>
        </w:rPr>
        <w:t xml:space="preserve"> –</w:t>
      </w:r>
      <w:r w:rsidR="00FB1EDB">
        <w:rPr>
          <w:rFonts w:cs="Arial"/>
          <w:color w:val="000000" w:themeColor="text1"/>
        </w:rPr>
        <w:t xml:space="preserve"> </w:t>
      </w:r>
      <w:r w:rsidR="00D82227">
        <w:rPr>
          <w:rFonts w:cs="Arial"/>
          <w:color w:val="000000" w:themeColor="text1"/>
        </w:rPr>
        <w:t>provides an</w:t>
      </w:r>
      <w:r w:rsidR="00FB1EDB">
        <w:rPr>
          <w:rFonts w:cs="Arial"/>
          <w:color w:val="000000" w:themeColor="text1"/>
        </w:rPr>
        <w:t xml:space="preserve"> extensive application programming interface</w:t>
      </w:r>
      <w:r w:rsidR="00D82227">
        <w:rPr>
          <w:rFonts w:cs="Arial"/>
          <w:color w:val="000000" w:themeColor="text1"/>
        </w:rPr>
        <w:t xml:space="preserve"> (API)</w:t>
      </w:r>
      <w:r w:rsidR="00FB1EDB">
        <w:rPr>
          <w:rFonts w:cs="Arial"/>
          <w:color w:val="000000" w:themeColor="text1"/>
        </w:rPr>
        <w:t xml:space="preserve"> containing practice (e.g. </w:t>
      </w:r>
      <w:r w:rsidR="00B902E3">
        <w:rPr>
          <w:rFonts w:cs="Arial"/>
          <w:color w:val="000000" w:themeColor="text1"/>
        </w:rPr>
        <w:t>frequency and duration of matches</w:t>
      </w:r>
      <w:r w:rsidR="00CD20AA">
        <w:rPr>
          <w:rFonts w:cs="Arial"/>
          <w:color w:val="000000" w:themeColor="text1"/>
        </w:rPr>
        <w:t xml:space="preserve">) and performance (e.g. </w:t>
      </w:r>
      <w:r w:rsidR="00B902E3">
        <w:rPr>
          <w:rFonts w:cs="Arial"/>
          <w:color w:val="000000" w:themeColor="text1"/>
        </w:rPr>
        <w:t>kills, deaths, and assists</w:t>
      </w:r>
      <w:r w:rsidR="00B915B8">
        <w:rPr>
          <w:rFonts w:cs="Arial"/>
          <w:color w:val="000000" w:themeColor="text1"/>
        </w:rPr>
        <w:t>) data for all players engaged in ranked matchmaking pla</w:t>
      </w:r>
      <w:r w:rsidR="00635270">
        <w:rPr>
          <w:rFonts w:cs="Arial"/>
          <w:color w:val="000000" w:themeColor="text1"/>
        </w:rPr>
        <w:t>y</w:t>
      </w:r>
      <w:r w:rsidR="00B915B8">
        <w:rPr>
          <w:rFonts w:cs="Arial"/>
          <w:color w:val="000000" w:themeColor="text1"/>
        </w:rPr>
        <w:t>.</w:t>
      </w:r>
      <w:r w:rsidR="00D82227">
        <w:rPr>
          <w:rFonts w:cs="Arial"/>
          <w:color w:val="000000" w:themeColor="text1"/>
        </w:rPr>
        <w:t xml:space="preserve"> </w:t>
      </w:r>
      <w:r w:rsidR="00A02050">
        <w:rPr>
          <w:rFonts w:cs="Arial"/>
          <w:color w:val="000000" w:themeColor="text1"/>
        </w:rPr>
        <w:t xml:space="preserve">Utilising such data </w:t>
      </w:r>
      <w:r w:rsidR="003A24C9">
        <w:rPr>
          <w:rFonts w:cs="Arial"/>
          <w:color w:val="000000" w:themeColor="text1"/>
        </w:rPr>
        <w:t xml:space="preserve">offers the opportunity to improve </w:t>
      </w:r>
      <w:r w:rsidR="00594E30">
        <w:rPr>
          <w:rFonts w:cs="Arial"/>
          <w:color w:val="000000" w:themeColor="text1"/>
        </w:rPr>
        <w:t>reporting accuracy</w:t>
      </w:r>
      <w:r w:rsidR="00A02050">
        <w:rPr>
          <w:rFonts w:cs="Arial"/>
          <w:color w:val="000000" w:themeColor="text1"/>
        </w:rPr>
        <w:t xml:space="preserve">, mitigating recall biases and providing real-time insights into player development patterns. </w:t>
      </w:r>
      <w:r w:rsidR="00B915B8">
        <w:rPr>
          <w:rFonts w:cs="Arial"/>
          <w:color w:val="000000" w:themeColor="text1"/>
        </w:rPr>
        <w:t>Therefore, the current study will implement an exploratory desig</w:t>
      </w:r>
      <w:r w:rsidR="00FE0250">
        <w:rPr>
          <w:rFonts w:cs="Arial"/>
          <w:color w:val="000000" w:themeColor="text1"/>
        </w:rPr>
        <w:t xml:space="preserve">n to analyse </w:t>
      </w:r>
      <w:r w:rsidR="00072D5E">
        <w:rPr>
          <w:rFonts w:cs="Arial"/>
          <w:color w:val="000000" w:themeColor="text1"/>
        </w:rPr>
        <w:t xml:space="preserve">the </w:t>
      </w:r>
      <w:r w:rsidR="00FE0250">
        <w:rPr>
          <w:rFonts w:cs="Arial"/>
          <w:color w:val="000000" w:themeColor="text1"/>
        </w:rPr>
        <w:t xml:space="preserve">practice </w:t>
      </w:r>
      <w:r w:rsidR="00072D5E">
        <w:rPr>
          <w:rFonts w:cs="Arial"/>
          <w:color w:val="000000" w:themeColor="text1"/>
        </w:rPr>
        <w:t xml:space="preserve">behaviours of esports players </w:t>
      </w:r>
      <w:r w:rsidR="00365DEF">
        <w:rPr>
          <w:rFonts w:cs="Arial"/>
          <w:color w:val="000000" w:themeColor="text1"/>
        </w:rPr>
        <w:t>in League of Legends</w:t>
      </w:r>
      <w:r w:rsidR="00A02050">
        <w:rPr>
          <w:rFonts w:cs="Arial"/>
          <w:color w:val="000000" w:themeColor="text1"/>
        </w:rPr>
        <w:t xml:space="preserve"> by leveraging the game</w:t>
      </w:r>
      <w:r w:rsidR="00DA1788">
        <w:rPr>
          <w:rFonts w:cs="Arial"/>
          <w:color w:val="000000" w:themeColor="text1"/>
        </w:rPr>
        <w:t>'</w:t>
      </w:r>
      <w:r w:rsidR="00A02050">
        <w:rPr>
          <w:rFonts w:cs="Arial"/>
          <w:color w:val="000000" w:themeColor="text1"/>
        </w:rPr>
        <w:t>s</w:t>
      </w:r>
      <w:r w:rsidR="00B4462C">
        <w:rPr>
          <w:rFonts w:cs="Arial"/>
          <w:color w:val="000000" w:themeColor="text1"/>
        </w:rPr>
        <w:t xml:space="preserve"> data repository</w:t>
      </w:r>
      <w:r w:rsidR="00A02050">
        <w:rPr>
          <w:rFonts w:cs="Arial"/>
          <w:color w:val="000000" w:themeColor="text1"/>
        </w:rPr>
        <w:t xml:space="preserve">. Specifically, we will </w:t>
      </w:r>
      <w:r w:rsidR="00B4462C">
        <w:rPr>
          <w:rFonts w:cs="Arial"/>
          <w:color w:val="000000" w:themeColor="text1"/>
        </w:rPr>
        <w:t>focus</w:t>
      </w:r>
      <w:r w:rsidR="001E392F">
        <w:rPr>
          <w:rFonts w:cs="Arial"/>
          <w:color w:val="000000" w:themeColor="text1"/>
        </w:rPr>
        <w:t xml:space="preserve"> </w:t>
      </w:r>
      <w:r w:rsidR="00B4462C">
        <w:rPr>
          <w:rFonts w:cs="Arial"/>
          <w:color w:val="000000" w:themeColor="text1"/>
        </w:rPr>
        <w:t xml:space="preserve">on players </w:t>
      </w:r>
      <w:r w:rsidR="00740C6E">
        <w:rPr>
          <w:rFonts w:cs="Arial"/>
          <w:color w:val="000000" w:themeColor="text1"/>
        </w:rPr>
        <w:t>who are relative experts</w:t>
      </w:r>
      <w:r w:rsidR="00A93D8C">
        <w:rPr>
          <w:rFonts w:cs="Arial"/>
          <w:color w:val="000000" w:themeColor="text1"/>
        </w:rPr>
        <w:t xml:space="preserve"> across established and emerging regions. </w:t>
      </w:r>
      <w:r w:rsidR="008C05CA">
        <w:rPr>
          <w:rFonts w:cs="Arial"/>
          <w:color w:val="000000" w:themeColor="text1"/>
        </w:rPr>
        <w:t>W</w:t>
      </w:r>
      <w:r w:rsidR="00A02050">
        <w:rPr>
          <w:rFonts w:cs="Arial"/>
          <w:color w:val="000000" w:themeColor="text1"/>
        </w:rPr>
        <w:t>e opted not to conduct explicit hypothesis</w:t>
      </w:r>
      <w:r w:rsidR="00F843F2">
        <w:rPr>
          <w:rFonts w:cs="Arial"/>
          <w:color w:val="000000" w:themeColor="text1"/>
        </w:rPr>
        <w:t xml:space="preserve"> testing</w:t>
      </w:r>
      <w:r w:rsidR="00A02050">
        <w:rPr>
          <w:rFonts w:cs="Arial"/>
          <w:color w:val="000000" w:themeColor="text1"/>
        </w:rPr>
        <w:t xml:space="preserve"> due to the </w:t>
      </w:r>
      <w:r w:rsidR="00F843F2">
        <w:rPr>
          <w:rFonts w:cs="Arial"/>
          <w:color w:val="000000" w:themeColor="text1"/>
        </w:rPr>
        <w:t>exploratory nature of our approach.</w:t>
      </w:r>
      <w:r w:rsidR="00545359">
        <w:rPr>
          <w:rFonts w:cs="Arial"/>
          <w:color w:val="000000" w:themeColor="text1"/>
        </w:rPr>
        <w:t xml:space="preserve"> Instead, we </w:t>
      </w:r>
      <w:r w:rsidR="00A02050">
        <w:rPr>
          <w:rFonts w:cs="Arial"/>
          <w:color w:val="000000" w:themeColor="text1"/>
        </w:rPr>
        <w:t xml:space="preserve">concentrated on generating preliminary insights that can inform future confirmatory research and practice applications in talent identification and development within the esports industry. </w:t>
      </w:r>
    </w:p>
    <w:p w14:paraId="62DD564A" w14:textId="2CB0A675" w:rsidR="00BC3726" w:rsidRDefault="00BC3726" w:rsidP="00DA1788">
      <w:pPr>
        <w:pStyle w:val="Heading1"/>
        <w:rPr>
          <w:rFonts w:cs="Arial"/>
          <w:color w:val="000000" w:themeColor="text1"/>
        </w:rPr>
      </w:pPr>
      <w:r>
        <w:rPr>
          <w:rFonts w:cs="Arial"/>
          <w:color w:val="000000" w:themeColor="text1"/>
        </w:rPr>
        <w:t>Methods</w:t>
      </w:r>
    </w:p>
    <w:p w14:paraId="37B7A2F9" w14:textId="14205D05" w:rsidR="004A6E33" w:rsidRPr="00DA1788" w:rsidRDefault="004A6E33" w:rsidP="004A6E33">
      <w:pPr>
        <w:pStyle w:val="Heading2"/>
      </w:pPr>
      <w:r w:rsidRPr="00DA1788">
        <w:t>Context</w:t>
      </w:r>
    </w:p>
    <w:p w14:paraId="23DCCF1C" w14:textId="2AE37A49" w:rsidR="00B120F0" w:rsidRDefault="009E711F" w:rsidP="009A66D6">
      <w:pPr>
        <w:ind w:firstLine="720"/>
        <w:rPr>
          <w:rFonts w:cs="Arial"/>
          <w:color w:val="000000" w:themeColor="text1"/>
        </w:rPr>
      </w:pPr>
      <w:r>
        <w:rPr>
          <w:rFonts w:cs="Arial"/>
          <w:color w:val="000000" w:themeColor="text1"/>
        </w:rPr>
        <w:t xml:space="preserve">League of Legends is </w:t>
      </w:r>
      <w:r w:rsidR="004A6E33">
        <w:rPr>
          <w:rFonts w:cs="Arial"/>
          <w:color w:val="000000" w:themeColor="text1"/>
        </w:rPr>
        <w:t xml:space="preserve">a </w:t>
      </w:r>
      <w:r w:rsidR="00B120F0">
        <w:rPr>
          <w:rFonts w:cs="Arial"/>
          <w:color w:val="000000" w:themeColor="text1"/>
        </w:rPr>
        <w:t xml:space="preserve">team-based </w:t>
      </w:r>
      <w:r w:rsidR="004A6E33" w:rsidRPr="000052AC">
        <w:rPr>
          <w:rFonts w:cs="Arial"/>
          <w:color w:val="000000" w:themeColor="text1"/>
        </w:rPr>
        <w:t>multiplayer online battle arena video game</w:t>
      </w:r>
      <w:r w:rsidR="002E3AC8">
        <w:rPr>
          <w:rFonts w:cs="Arial"/>
          <w:color w:val="000000" w:themeColor="text1"/>
        </w:rPr>
        <w:t xml:space="preserve">. It involves teams of five players </w:t>
      </w:r>
      <w:r w:rsidR="00E47B16">
        <w:rPr>
          <w:rFonts w:cs="Arial"/>
          <w:color w:val="000000" w:themeColor="text1"/>
        </w:rPr>
        <w:t>controlling</w:t>
      </w:r>
      <w:r w:rsidR="002E3AC8">
        <w:rPr>
          <w:rFonts w:cs="Arial"/>
          <w:color w:val="000000" w:themeColor="text1"/>
        </w:rPr>
        <w:t xml:space="preserve"> a </w:t>
      </w:r>
      <w:r w:rsidR="00E47B16">
        <w:rPr>
          <w:rFonts w:cs="Arial"/>
          <w:color w:val="000000" w:themeColor="text1"/>
        </w:rPr>
        <w:t>champion</w:t>
      </w:r>
      <w:r w:rsidR="00D75FBE">
        <w:rPr>
          <w:rFonts w:cs="Arial"/>
          <w:color w:val="000000" w:themeColor="text1"/>
        </w:rPr>
        <w:t xml:space="preserve"> (i.e. assassin, fighter, mage, </w:t>
      </w:r>
      <w:r w:rsidR="00635270">
        <w:rPr>
          <w:rFonts w:cs="Arial"/>
          <w:color w:val="000000" w:themeColor="text1"/>
        </w:rPr>
        <w:t>marksman</w:t>
      </w:r>
      <w:r w:rsidR="00D75FBE">
        <w:rPr>
          <w:rFonts w:cs="Arial"/>
          <w:color w:val="000000" w:themeColor="text1"/>
        </w:rPr>
        <w:t>, support, tank) with unique abilitie</w:t>
      </w:r>
      <w:r w:rsidR="00CE3807">
        <w:rPr>
          <w:rFonts w:cs="Arial"/>
          <w:color w:val="000000" w:themeColor="text1"/>
        </w:rPr>
        <w:t>s. The player uses this champion to defeat minions</w:t>
      </w:r>
      <w:r w:rsidR="00E42213">
        <w:rPr>
          <w:rFonts w:cs="Arial"/>
          <w:color w:val="000000" w:themeColor="text1"/>
        </w:rPr>
        <w:t xml:space="preserve"> and enemy players</w:t>
      </w:r>
      <w:r w:rsidR="00CE3807">
        <w:rPr>
          <w:rFonts w:cs="Arial"/>
          <w:color w:val="000000" w:themeColor="text1"/>
        </w:rPr>
        <w:t>, rewarding them with gold and experience, which allows their champion to get progressively stronger</w:t>
      </w:r>
      <w:r w:rsidR="000812D4">
        <w:rPr>
          <w:rFonts w:cs="Arial"/>
          <w:color w:val="000000" w:themeColor="text1"/>
        </w:rPr>
        <w:t xml:space="preserve"> by levelling up</w:t>
      </w:r>
      <w:r w:rsidR="00CE3807">
        <w:rPr>
          <w:rFonts w:cs="Arial"/>
          <w:color w:val="000000" w:themeColor="text1"/>
        </w:rPr>
        <w:t>. The player can use the gold to buy items</w:t>
      </w:r>
      <w:r w:rsidR="007A5465">
        <w:rPr>
          <w:rFonts w:cs="Arial"/>
          <w:color w:val="000000" w:themeColor="text1"/>
        </w:rPr>
        <w:t xml:space="preserve">, boosting </w:t>
      </w:r>
      <w:r w:rsidR="005B6CF7">
        <w:rPr>
          <w:rFonts w:cs="Arial"/>
          <w:color w:val="000000" w:themeColor="text1"/>
        </w:rPr>
        <w:t xml:space="preserve">the champion's power so they can do more damage. </w:t>
      </w:r>
      <w:r w:rsidR="000812D4">
        <w:rPr>
          <w:rFonts w:cs="Arial"/>
          <w:color w:val="000000" w:themeColor="text1"/>
        </w:rPr>
        <w:t>Throughout the game, the team can defeat neutral</w:t>
      </w:r>
      <w:r w:rsidR="006E5092">
        <w:rPr>
          <w:rFonts w:cs="Arial"/>
          <w:color w:val="000000" w:themeColor="text1"/>
        </w:rPr>
        <w:t xml:space="preserve"> </w:t>
      </w:r>
      <w:r w:rsidR="00E42213">
        <w:rPr>
          <w:rFonts w:cs="Arial"/>
          <w:color w:val="000000" w:themeColor="text1"/>
        </w:rPr>
        <w:t>objectives</w:t>
      </w:r>
      <w:r w:rsidR="00B92E18">
        <w:rPr>
          <w:rFonts w:cs="Arial"/>
          <w:color w:val="000000" w:themeColor="text1"/>
        </w:rPr>
        <w:t>, providing them with a buff</w:t>
      </w:r>
      <w:r w:rsidR="000E28D3">
        <w:rPr>
          <w:rFonts w:cs="Arial"/>
          <w:color w:val="000000" w:themeColor="text1"/>
        </w:rPr>
        <w:t xml:space="preserve"> and </w:t>
      </w:r>
      <w:r w:rsidR="00594E30">
        <w:rPr>
          <w:rFonts w:cs="Arial"/>
          <w:color w:val="000000" w:themeColor="text1"/>
        </w:rPr>
        <w:t>temporarily increasing</w:t>
      </w:r>
      <w:r w:rsidR="00B92E18">
        <w:rPr>
          <w:rFonts w:cs="Arial"/>
          <w:color w:val="000000" w:themeColor="text1"/>
        </w:rPr>
        <w:t xml:space="preserve"> </w:t>
      </w:r>
      <w:r w:rsidR="00B92E18">
        <w:rPr>
          <w:rFonts w:cs="Arial"/>
          <w:color w:val="000000" w:themeColor="text1"/>
        </w:rPr>
        <w:lastRenderedPageBreak/>
        <w:t xml:space="preserve">their power. The game ends when the team </w:t>
      </w:r>
      <w:r w:rsidR="009A66D6">
        <w:rPr>
          <w:rFonts w:cs="Arial"/>
          <w:color w:val="000000" w:themeColor="text1"/>
        </w:rPr>
        <w:t>destroys the</w:t>
      </w:r>
      <w:r w:rsidR="002205BB">
        <w:rPr>
          <w:rFonts w:cs="Arial"/>
          <w:color w:val="000000" w:themeColor="text1"/>
        </w:rPr>
        <w:t xml:space="preserve"> </w:t>
      </w:r>
      <w:r w:rsidR="00482493">
        <w:rPr>
          <w:rFonts w:cs="Arial"/>
          <w:color w:val="000000" w:themeColor="text1"/>
        </w:rPr>
        <w:t>opposition</w:t>
      </w:r>
      <w:r w:rsidR="00DA1788">
        <w:rPr>
          <w:rFonts w:cs="Arial"/>
          <w:color w:val="000000" w:themeColor="text1"/>
        </w:rPr>
        <w:t>'</w:t>
      </w:r>
      <w:r w:rsidR="00482493">
        <w:rPr>
          <w:rFonts w:cs="Arial"/>
          <w:color w:val="000000" w:themeColor="text1"/>
        </w:rPr>
        <w:t>s base.</w:t>
      </w:r>
      <w:r w:rsidR="003A24C9">
        <w:rPr>
          <w:rFonts w:cs="Arial"/>
          <w:color w:val="000000" w:themeColor="text1"/>
        </w:rPr>
        <w:t xml:space="preserve"> See</w:t>
      </w:r>
      <w:r w:rsidR="00635270">
        <w:rPr>
          <w:rFonts w:cs="Arial"/>
          <w:color w:val="000000" w:themeColor="text1"/>
        </w:rPr>
        <w:t xml:space="preserve"> </w:t>
      </w:r>
      <w:r w:rsidR="00D37DBB">
        <w:rPr>
          <w:rFonts w:cs="Arial"/>
          <w:color w:val="000000" w:themeColor="text1"/>
        </w:rPr>
        <w:fldChar w:fldCharType="begin"/>
      </w:r>
      <w:r w:rsidR="00EC10D9">
        <w:rPr>
          <w:rFonts w:cs="Arial"/>
          <w:color w:val="000000" w:themeColor="text1"/>
        </w:rPr>
        <w:instrText xml:space="preserve"> ADDIN ZOTERO_ITEM CSL_CITATION {"citationID":"7CugIoYS","properties":{"formattedCitation":"(Novak et al., 2020)","plainCitation":"(Novak et al., 2020)","dontUpdate":true,"noteIndex":0},"citationItems":[{"id":599,"uris":["http://zotero.org/users/13125511/items/SYFGUNYH"],"itemData":{"id":599,"type":"article-journal","abstract":"Performance analysis is a well-established discipline in sports science, supported by decades of research. Comparatively, performance analysis in electronic sports (esports) is limited. Therefore, there is an opportunity to accelerate performance outcomes in esports by applying methods grounded in sports science. This study adopted a coach-centred approach to model performance at the 2018 League of Legends World Championship. Three expert coaches rated the proposed relationship between 43 variables and match outcomes in professional League of Legends competition using a Likert scale (1–10). The Likert scale was anchored with ‘no relationship’ at 1 and ‘very strong relationship’ at 10. The coaches’ median ratings were calculated for each variable. Variables with a median score ≥6 were retained for analyses. A total of 14 variables were collected from the 2018 League of Legends World Championship (n = 119) matches via video annotations and match histories. Generalized Linear Mixed Effects Models with binomial logit link function were implemented with respect to the Blue Side winning or losing the match, and individual teams were specified as random effects. Variables were screened for multicollinearity before using a step-up approach. The best model of performance included Tower Percentage (p = 0.006) and Number of Inhibitors (p = 0.029). This model achieved classification accuracy of 95.8%. While Tower Percentage and Number of Inhibitors contributed to winning or losing, further research is required to determine effective strategies to improve these variables, to understand the relevance of these variables across the complete time-series of the match, and to determine whether performance indicators remain stable across game updates.","container-title":"International Journal of Sports Science &amp; Coaching","DOI":"10.1177/1747954120932853","ISSN":"1747-9541","issue":"5-6","language":"en","note":"publisher: SAGE Publications","page":"809-817","source":"SAGE Journals","title":"Performance analysis in esports: modelling performance at the 2018 League of Legends World Championship","title-short":"Performance analysis in esports","volume":"15","author":[{"family":"Novak","given":"Andrew R"},{"family":"Bennett","given":"Kyle JM"},{"family":"Pluss","given":"Matthew A"},{"family":"Fransen","given":"Job"}],"issued":{"date-parts":[["2020",12,1]]},"citation-key":"novakPerformanceAnalysisEsports2020"}}],"schema":"https://github.com/citation-style-language/schema/raw/master/csl-citation.json"} </w:instrText>
      </w:r>
      <w:r w:rsidR="00D37DBB">
        <w:rPr>
          <w:rFonts w:cs="Arial"/>
          <w:color w:val="000000" w:themeColor="text1"/>
        </w:rPr>
        <w:fldChar w:fldCharType="separate"/>
      </w:r>
      <w:r w:rsidR="00D37DBB" w:rsidRPr="00D37DBB">
        <w:rPr>
          <w:rFonts w:cs="Arial"/>
        </w:rPr>
        <w:t xml:space="preserve">Novak et al. </w:t>
      </w:r>
      <w:r w:rsidR="00B20589">
        <w:rPr>
          <w:rFonts w:cs="Arial"/>
        </w:rPr>
        <w:t>(</w:t>
      </w:r>
      <w:r w:rsidR="00D37DBB" w:rsidRPr="00D37DBB">
        <w:rPr>
          <w:rFonts w:cs="Arial"/>
        </w:rPr>
        <w:t>2020)</w:t>
      </w:r>
      <w:r w:rsidR="00D37DBB">
        <w:rPr>
          <w:rFonts w:cs="Arial"/>
          <w:color w:val="000000" w:themeColor="text1"/>
        </w:rPr>
        <w:fldChar w:fldCharType="end"/>
      </w:r>
      <w:r w:rsidR="003A24C9">
        <w:rPr>
          <w:rFonts w:cs="Arial"/>
          <w:color w:val="000000" w:themeColor="text1"/>
        </w:rPr>
        <w:t xml:space="preserve"> and</w:t>
      </w:r>
      <w:r w:rsidR="00B20589">
        <w:rPr>
          <w:rFonts w:cs="Arial"/>
          <w:color w:val="000000" w:themeColor="text1"/>
        </w:rPr>
        <w:t xml:space="preserve"> </w:t>
      </w:r>
      <w:r w:rsidR="00B20589">
        <w:rPr>
          <w:rFonts w:cs="Arial"/>
          <w:color w:val="000000" w:themeColor="text1"/>
        </w:rPr>
        <w:fldChar w:fldCharType="begin"/>
      </w:r>
      <w:r w:rsidR="00EC10D9">
        <w:rPr>
          <w:rFonts w:cs="Arial"/>
          <w:color w:val="000000" w:themeColor="text1"/>
        </w:rPr>
        <w:instrText xml:space="preserve"> ADDIN ZOTERO_ITEM CSL_CITATION {"citationID":"YmcQ8E3x","properties":{"formattedCitation":"(Novak et al., 2019)","plainCitation":"(Novak et al., 2019)","dontUpdate":true,"noteIndex":0},"citationItems":[{"id":800,"uris":["http://zotero.org/users/13125511/items/FIBWSQ5L"],"itemData":{"id":800,"type":"article-journal","abstract":"Performance analysis in sports objectively captures aspects of athlete performances to inform coaching. Comparatively, esports is an emerging expertise domain with limited performance analysis research, however, no research has yet investigated the quality of available data. Therefore, this research aimed to: 1) assess the validity of publicly accessible Match History statistics from professional League of Legends matches; 2) assess the agreement of notational analysis between three experienced players; and 3) assess the agreement between a novice and Match Histories. 30 professional matches were randomly selected from the North American and European 2019 seasons. The Match Histories for each match were copied from the publicly accessible repository, while each of the authors independently viewed videos on the public Video On Demand repository, and encoded action variables corresponding to the Match Histories. Data were compared 1) between the most experienced player and Match Histories; 2) between the three experienced authors; and 3) between the novice author and Match Histories. Krippendorff’s Alpha was calculated with acceptable agreement set at α ≥ 0.8. The most experienced player was in good agreement with Match Histories (α=0.868-1.000), while the novice rater was in good agreement except for First Tower Time (α=0.764) and First Inhibitor Team (0.740). The three experienced players were in good agreement (α=0.861- 1.000). Match Histories and experienced player annotations can be used interchangeably for all observed measures to facilitate performance analysis in professional League of Legends. A novice can be used to capture some basic statistics, while other measures require domain expertise.","container-title":"Sportrxiv","DOI":"10.31236/osf.io/sm3nj","source":"the University of Groningen research portal","title":"Performance analysis in esports: part 1 - the validity and reliability of match statistics and notational analysis in League of Legends","title-short":"Performance analysis in esports","author":[{"family":"Novak","given":"Andrew R"},{"family":"Bennett","given":"Kyle J M"},{"family":"Pluss","given":"Matthew A"},{"family":"Fransen","given":"Job"}],"issued":{"date-parts":[["2019"]]},"citation-key":"novakPerformanceAnalysisEsports2019"}}],"schema":"https://github.com/citation-style-language/schema/raw/master/csl-citation.json"} </w:instrText>
      </w:r>
      <w:r w:rsidR="00B20589">
        <w:rPr>
          <w:rFonts w:cs="Arial"/>
          <w:color w:val="000000" w:themeColor="text1"/>
        </w:rPr>
        <w:fldChar w:fldCharType="separate"/>
      </w:r>
      <w:r w:rsidR="00B20589" w:rsidRPr="00B20589">
        <w:rPr>
          <w:rFonts w:cs="Arial"/>
        </w:rPr>
        <w:t xml:space="preserve">Novak et al. </w:t>
      </w:r>
      <w:r w:rsidR="00FD7E9D">
        <w:rPr>
          <w:rFonts w:cs="Arial"/>
        </w:rPr>
        <w:t>(</w:t>
      </w:r>
      <w:r w:rsidR="00B20589" w:rsidRPr="00B20589">
        <w:rPr>
          <w:rFonts w:cs="Arial"/>
        </w:rPr>
        <w:t>2019)</w:t>
      </w:r>
      <w:r w:rsidR="00B20589">
        <w:rPr>
          <w:rFonts w:cs="Arial"/>
          <w:color w:val="000000" w:themeColor="text1"/>
        </w:rPr>
        <w:fldChar w:fldCharType="end"/>
      </w:r>
      <w:r w:rsidR="000E28D3">
        <w:rPr>
          <w:rFonts w:cs="Arial"/>
          <w:color w:val="000000" w:themeColor="text1"/>
        </w:rPr>
        <w:t xml:space="preserve"> </w:t>
      </w:r>
      <w:r w:rsidR="00E33125">
        <w:rPr>
          <w:rFonts w:cs="Arial"/>
          <w:color w:val="000000" w:themeColor="text1"/>
        </w:rPr>
        <w:t xml:space="preserve">for additional details about League of Legends </w:t>
      </w:r>
      <w:r w:rsidR="00FD7E9D">
        <w:rPr>
          <w:rFonts w:cs="Arial"/>
          <w:color w:val="000000" w:themeColor="text1"/>
        </w:rPr>
        <w:t>matchplay</w:t>
      </w:r>
      <w:r w:rsidR="00E33125">
        <w:rPr>
          <w:rFonts w:cs="Arial"/>
          <w:color w:val="000000" w:themeColor="text1"/>
        </w:rPr>
        <w:t>.</w:t>
      </w:r>
      <w:r w:rsidR="003A24C9">
        <w:rPr>
          <w:rFonts w:cs="Arial"/>
          <w:color w:val="000000" w:themeColor="text1"/>
        </w:rPr>
        <w:t xml:space="preserve"> </w:t>
      </w:r>
      <w:r w:rsidR="00482493">
        <w:rPr>
          <w:rFonts w:cs="Arial"/>
          <w:color w:val="000000" w:themeColor="text1"/>
        </w:rPr>
        <w:t xml:space="preserve"> </w:t>
      </w:r>
    </w:p>
    <w:p w14:paraId="629BB530" w14:textId="54B8BC8C" w:rsidR="008A0F4E" w:rsidRPr="00A02050" w:rsidRDefault="00482493" w:rsidP="009378B1">
      <w:pPr>
        <w:ind w:firstLine="720"/>
        <w:rPr>
          <w:rFonts w:cs="Arial"/>
          <w:color w:val="000000" w:themeColor="text1"/>
        </w:rPr>
      </w:pPr>
      <w:r>
        <w:rPr>
          <w:rFonts w:cs="Arial"/>
          <w:color w:val="000000" w:themeColor="text1"/>
        </w:rPr>
        <w:t xml:space="preserve">League of Legends has </w:t>
      </w:r>
      <w:r w:rsidR="009E711F">
        <w:rPr>
          <w:rFonts w:cs="Arial"/>
          <w:color w:val="000000" w:themeColor="text1"/>
        </w:rPr>
        <w:t>an in-built matchmaking system</w:t>
      </w:r>
      <w:r w:rsidR="00B0521C">
        <w:rPr>
          <w:rFonts w:cs="Arial"/>
          <w:color w:val="000000" w:themeColor="text1"/>
        </w:rPr>
        <w:t xml:space="preserve"> based on relative skill levels (akin to </w:t>
      </w:r>
      <w:r w:rsidR="00E33125">
        <w:rPr>
          <w:rFonts w:cs="Arial"/>
          <w:color w:val="000000" w:themeColor="text1"/>
        </w:rPr>
        <w:t xml:space="preserve">the </w:t>
      </w:r>
      <w:r w:rsidR="00B0521C">
        <w:rPr>
          <w:rFonts w:cs="Arial"/>
          <w:color w:val="000000" w:themeColor="text1"/>
        </w:rPr>
        <w:t xml:space="preserve">Elo rating system </w:t>
      </w:r>
      <w:r w:rsidR="00E33125">
        <w:rPr>
          <w:rFonts w:cs="Arial"/>
          <w:color w:val="000000" w:themeColor="text1"/>
        </w:rPr>
        <w:t xml:space="preserve">used in </w:t>
      </w:r>
      <w:r w:rsidR="00B0521C">
        <w:rPr>
          <w:rFonts w:cs="Arial"/>
          <w:color w:val="000000" w:themeColor="text1"/>
        </w:rPr>
        <w:t>chess</w:t>
      </w:r>
      <w:r w:rsidR="00E33125">
        <w:rPr>
          <w:rFonts w:cs="Arial"/>
          <w:color w:val="000000" w:themeColor="text1"/>
        </w:rPr>
        <w:t xml:space="preserve"> and sports</w:t>
      </w:r>
      <w:r w:rsidR="00B0521C">
        <w:rPr>
          <w:rFonts w:cs="Arial"/>
          <w:color w:val="000000" w:themeColor="text1"/>
        </w:rPr>
        <w:t>)</w:t>
      </w:r>
      <w:r w:rsidR="009E711F">
        <w:rPr>
          <w:rFonts w:cs="Arial"/>
          <w:color w:val="000000" w:themeColor="text1"/>
        </w:rPr>
        <w:t xml:space="preserve">, with ten tiers of </w:t>
      </w:r>
      <w:r>
        <w:rPr>
          <w:rFonts w:cs="Arial"/>
          <w:color w:val="000000" w:themeColor="text1"/>
        </w:rPr>
        <w:t>competition</w:t>
      </w:r>
      <w:r w:rsidR="009E711F">
        <w:rPr>
          <w:rFonts w:cs="Arial"/>
          <w:color w:val="000000" w:themeColor="text1"/>
        </w:rPr>
        <w:t xml:space="preserve">, progressing from least to most skilful (i.e. Iron, Bronze, Silver, Gold, Platinum, Emerald, Diamond, Master, Grandmaster, and Challenger). </w:t>
      </w:r>
      <w:r>
        <w:rPr>
          <w:rFonts w:cs="Arial"/>
          <w:color w:val="000000" w:themeColor="text1"/>
        </w:rPr>
        <w:t>These tiers have</w:t>
      </w:r>
      <w:r w:rsidR="00D2000B">
        <w:rPr>
          <w:rFonts w:cs="Arial"/>
          <w:color w:val="000000" w:themeColor="text1"/>
        </w:rPr>
        <w:t xml:space="preserve"> four </w:t>
      </w:r>
      <w:r w:rsidR="00E33125">
        <w:rPr>
          <w:rFonts w:cs="Arial"/>
          <w:color w:val="000000" w:themeColor="text1"/>
        </w:rPr>
        <w:t>sub-</w:t>
      </w:r>
      <w:r w:rsidR="00D2000B">
        <w:rPr>
          <w:rFonts w:cs="Arial"/>
          <w:color w:val="000000" w:themeColor="text1"/>
        </w:rPr>
        <w:t xml:space="preserve">divisions, except </w:t>
      </w:r>
      <w:r w:rsidR="00E50D0B">
        <w:rPr>
          <w:rFonts w:cs="Arial"/>
          <w:color w:val="000000" w:themeColor="text1"/>
        </w:rPr>
        <w:t xml:space="preserve">for Master, Grandmaster, and Challenger, which only have one. </w:t>
      </w:r>
      <w:r w:rsidR="009E711F">
        <w:rPr>
          <w:rFonts w:cs="Arial"/>
          <w:color w:val="000000" w:themeColor="text1"/>
        </w:rPr>
        <w:t xml:space="preserve">Players progress up the competitive ladder by winning matches, which earns them League Points. </w:t>
      </w:r>
      <w:r w:rsidR="00A02050">
        <w:rPr>
          <w:rFonts w:cs="Arial"/>
          <w:color w:val="000000" w:themeColor="text1"/>
        </w:rPr>
        <w:t xml:space="preserve">Once they have achieved 100 League Points within a </w:t>
      </w:r>
      <w:r w:rsidR="00382C91">
        <w:rPr>
          <w:rFonts w:cs="Arial"/>
          <w:color w:val="000000" w:themeColor="text1"/>
        </w:rPr>
        <w:t>division</w:t>
      </w:r>
      <w:r w:rsidR="00A02050">
        <w:rPr>
          <w:rFonts w:cs="Arial"/>
          <w:color w:val="000000" w:themeColor="text1"/>
        </w:rPr>
        <w:t xml:space="preserve">, they move to </w:t>
      </w:r>
      <w:r w:rsidR="005F1733">
        <w:rPr>
          <w:rFonts w:cs="Arial"/>
          <w:color w:val="000000" w:themeColor="text1"/>
        </w:rPr>
        <w:t xml:space="preserve">the </w:t>
      </w:r>
      <w:r w:rsidR="00CC6174">
        <w:rPr>
          <w:rFonts w:cs="Arial"/>
          <w:color w:val="000000" w:themeColor="text1"/>
        </w:rPr>
        <w:t>subsequent</w:t>
      </w:r>
      <w:r w:rsidR="005F1733">
        <w:rPr>
          <w:rFonts w:cs="Arial"/>
          <w:color w:val="000000" w:themeColor="text1"/>
        </w:rPr>
        <w:t xml:space="preserve"> division</w:t>
      </w:r>
      <w:r w:rsidR="00A02050">
        <w:rPr>
          <w:rFonts w:cs="Arial"/>
          <w:color w:val="000000" w:themeColor="text1"/>
        </w:rPr>
        <w:t xml:space="preserve">. Once they </w:t>
      </w:r>
      <w:r w:rsidR="00382C91">
        <w:rPr>
          <w:rFonts w:cs="Arial"/>
          <w:color w:val="000000" w:themeColor="text1"/>
        </w:rPr>
        <w:t>reach</w:t>
      </w:r>
      <w:r w:rsidR="00A02050">
        <w:rPr>
          <w:rFonts w:cs="Arial"/>
          <w:color w:val="000000" w:themeColor="text1"/>
        </w:rPr>
        <w:t xml:space="preserve"> the top division</w:t>
      </w:r>
      <w:r w:rsidR="00382C91">
        <w:rPr>
          <w:rFonts w:cs="Arial"/>
          <w:color w:val="000000" w:themeColor="text1"/>
        </w:rPr>
        <w:t xml:space="preserve"> within a tier (e.g.</w:t>
      </w:r>
      <w:r w:rsidR="000E28D3">
        <w:rPr>
          <w:rFonts w:cs="Arial"/>
          <w:color w:val="000000" w:themeColor="text1"/>
        </w:rPr>
        <w:t>,</w:t>
      </w:r>
      <w:r w:rsidR="00382C91">
        <w:rPr>
          <w:rFonts w:cs="Arial"/>
          <w:color w:val="000000" w:themeColor="text1"/>
        </w:rPr>
        <w:t xml:space="preserve"> Gold I)</w:t>
      </w:r>
      <w:r w:rsidR="00A02050">
        <w:rPr>
          <w:rFonts w:cs="Arial"/>
          <w:color w:val="000000" w:themeColor="text1"/>
        </w:rPr>
        <w:t xml:space="preserve">, they advance to the </w:t>
      </w:r>
      <w:r w:rsidR="00E33125">
        <w:rPr>
          <w:rFonts w:cs="Arial"/>
          <w:color w:val="000000" w:themeColor="text1"/>
        </w:rPr>
        <w:t xml:space="preserve">lowest level of the </w:t>
      </w:r>
      <w:r w:rsidR="00A02050">
        <w:rPr>
          <w:rFonts w:cs="Arial"/>
          <w:color w:val="000000" w:themeColor="text1"/>
        </w:rPr>
        <w:t>next tier</w:t>
      </w:r>
      <w:r w:rsidR="00382C91">
        <w:rPr>
          <w:rFonts w:cs="Arial"/>
          <w:color w:val="000000" w:themeColor="text1"/>
        </w:rPr>
        <w:t xml:space="preserve"> (</w:t>
      </w:r>
      <w:r w:rsidR="000E28D3">
        <w:rPr>
          <w:rFonts w:cs="Arial"/>
          <w:color w:val="000000" w:themeColor="text1"/>
        </w:rPr>
        <w:t xml:space="preserve">i.e., </w:t>
      </w:r>
      <w:r w:rsidR="00382C91">
        <w:rPr>
          <w:rFonts w:cs="Arial"/>
          <w:color w:val="000000" w:themeColor="text1"/>
        </w:rPr>
        <w:t>Platinum IV)</w:t>
      </w:r>
      <w:r w:rsidR="00A02050">
        <w:rPr>
          <w:rFonts w:cs="Arial"/>
          <w:color w:val="000000" w:themeColor="text1"/>
        </w:rPr>
        <w:t xml:space="preserve">. </w:t>
      </w:r>
      <w:r w:rsidR="00AF3861">
        <w:rPr>
          <w:rFonts w:cs="Arial"/>
          <w:color w:val="000000" w:themeColor="text1"/>
        </w:rPr>
        <w:t>The matchmaking system has several game modes,</w:t>
      </w:r>
      <w:r w:rsidR="008274AB">
        <w:rPr>
          <w:rFonts w:cs="Arial"/>
          <w:color w:val="000000" w:themeColor="text1"/>
        </w:rPr>
        <w:t xml:space="preserve"> with the ranked option relevant to the current study. We specifically focused on </w:t>
      </w:r>
      <w:r w:rsidR="00BA69F6">
        <w:rPr>
          <w:rFonts w:cs="Arial"/>
          <w:color w:val="000000" w:themeColor="text1"/>
        </w:rPr>
        <w:t xml:space="preserve">the </w:t>
      </w:r>
      <w:r w:rsidR="00230688">
        <w:rPr>
          <w:rFonts w:cs="Arial"/>
          <w:color w:val="000000" w:themeColor="text1"/>
        </w:rPr>
        <w:t>Solo/Duo queue</w:t>
      </w:r>
      <w:r w:rsidR="00C3307F">
        <w:rPr>
          <w:rFonts w:cs="Arial"/>
          <w:color w:val="000000" w:themeColor="text1"/>
        </w:rPr>
        <w:t xml:space="preserve"> as it reflect</w:t>
      </w:r>
      <w:r w:rsidR="00997A5B">
        <w:rPr>
          <w:rFonts w:cs="Arial"/>
          <w:color w:val="000000" w:themeColor="text1"/>
        </w:rPr>
        <w:t>ed</w:t>
      </w:r>
      <w:r w:rsidR="00C3307F">
        <w:rPr>
          <w:rFonts w:cs="Arial"/>
          <w:color w:val="000000" w:themeColor="text1"/>
        </w:rPr>
        <w:t xml:space="preserve"> independent practice</w:t>
      </w:r>
      <w:r w:rsidR="00BA69F6">
        <w:rPr>
          <w:rFonts w:cs="Arial"/>
          <w:color w:val="000000" w:themeColor="text1"/>
        </w:rPr>
        <w:t>. In contrast, Flex</w:t>
      </w:r>
      <w:r w:rsidR="00230688">
        <w:rPr>
          <w:rFonts w:cs="Arial"/>
          <w:color w:val="000000" w:themeColor="text1"/>
        </w:rPr>
        <w:t xml:space="preserve"> Queue</w:t>
      </w:r>
      <w:r w:rsidR="00997A5B">
        <w:rPr>
          <w:rFonts w:cs="Arial"/>
          <w:color w:val="000000" w:themeColor="text1"/>
        </w:rPr>
        <w:t xml:space="preserve"> </w:t>
      </w:r>
      <w:r w:rsidR="00230688">
        <w:rPr>
          <w:rFonts w:cs="Arial"/>
          <w:color w:val="000000" w:themeColor="text1"/>
        </w:rPr>
        <w:t>requires a party of three or more players</w:t>
      </w:r>
      <w:r w:rsidR="00C3307F">
        <w:rPr>
          <w:rFonts w:cs="Arial"/>
          <w:color w:val="000000" w:themeColor="text1"/>
        </w:rPr>
        <w:t xml:space="preserve"> and may be more indicative of team-based practice</w:t>
      </w:r>
      <w:r w:rsidR="00230688">
        <w:rPr>
          <w:rFonts w:cs="Arial"/>
          <w:color w:val="000000" w:themeColor="text1"/>
        </w:rPr>
        <w:t>.</w:t>
      </w:r>
    </w:p>
    <w:p w14:paraId="53D41D23" w14:textId="467F29AC" w:rsidR="00BC3726" w:rsidRPr="00DA1788" w:rsidRDefault="00BC3726" w:rsidP="00BC3726">
      <w:pPr>
        <w:pStyle w:val="Heading2"/>
      </w:pPr>
      <w:r w:rsidRPr="00DA1788">
        <w:t>Sample Characteristics</w:t>
      </w:r>
    </w:p>
    <w:p w14:paraId="7A8EAD35" w14:textId="07B95965" w:rsidR="00997A5B" w:rsidRDefault="00997A5B" w:rsidP="0094686F">
      <w:pPr>
        <w:ind w:firstLine="720"/>
        <w:rPr>
          <w:rFonts w:cs="Arial"/>
          <w:color w:val="000000" w:themeColor="text1"/>
        </w:rPr>
      </w:pPr>
      <w:r>
        <w:t>We designed t</w:t>
      </w:r>
      <w:r w:rsidR="00C97A0C">
        <w:t xml:space="preserve">he </w:t>
      </w:r>
      <w:r w:rsidR="00531B98">
        <w:t xml:space="preserve">sample characteristics for this exploratory study </w:t>
      </w:r>
      <w:r>
        <w:t>using our</w:t>
      </w:r>
      <w:r w:rsidR="00531B98">
        <w:t xml:space="preserve"> domain knowledge (all authors have League of Legends playing experience</w:t>
      </w:r>
      <w:r>
        <w:t xml:space="preserve"> and have worked with professional teams</w:t>
      </w:r>
      <w:r w:rsidR="00531B98">
        <w:t xml:space="preserve">) and pragmatic decisions (the API </w:t>
      </w:r>
      <w:r>
        <w:t>restricts</w:t>
      </w:r>
      <w:r w:rsidR="00A147BB">
        <w:t xml:space="preserve"> requests </w:t>
      </w:r>
      <w:r>
        <w:t xml:space="preserve">to 100 </w:t>
      </w:r>
      <w:r w:rsidR="00A147BB">
        <w:t>every two minutes</w:t>
      </w:r>
      <w:r w:rsidR="00531B98">
        <w:t xml:space="preserve"> and subsequent data processing limitations). </w:t>
      </w:r>
      <w:r w:rsidR="0038419E">
        <w:rPr>
          <w:rFonts w:cs="Arial"/>
          <w:color w:val="000000" w:themeColor="text1"/>
        </w:rPr>
        <w:t xml:space="preserve">The target sample for the present study </w:t>
      </w:r>
      <w:r w:rsidR="00BA69F6">
        <w:rPr>
          <w:rFonts w:cs="Arial"/>
          <w:color w:val="000000" w:themeColor="text1"/>
        </w:rPr>
        <w:t>was 30 players from each of four tiers</w:t>
      </w:r>
      <w:r w:rsidR="0038419E">
        <w:rPr>
          <w:rFonts w:cs="Arial"/>
          <w:color w:val="000000" w:themeColor="text1"/>
        </w:rPr>
        <w:t xml:space="preserve"> across eight servers </w:t>
      </w:r>
      <w:r w:rsidR="005E5DEA">
        <w:rPr>
          <w:rFonts w:cs="Arial"/>
          <w:color w:val="000000" w:themeColor="text1"/>
        </w:rPr>
        <w:t>(</w:t>
      </w:r>
      <w:r w:rsidR="0038419E">
        <w:rPr>
          <w:rFonts w:cs="Arial"/>
          <w:color w:val="000000" w:themeColor="text1"/>
        </w:rPr>
        <w:t>i.e.</w:t>
      </w:r>
      <w:r w:rsidR="0086527C">
        <w:rPr>
          <w:rFonts w:cs="Arial"/>
          <w:color w:val="000000" w:themeColor="text1"/>
        </w:rPr>
        <w:t>,</w:t>
      </w:r>
      <w:r w:rsidR="0038419E">
        <w:rPr>
          <w:rFonts w:cs="Arial"/>
          <w:color w:val="000000" w:themeColor="text1"/>
        </w:rPr>
        <w:t xml:space="preserve"> 30</w:t>
      </w:r>
      <w:r w:rsidR="005E5DEA">
        <w:rPr>
          <w:rFonts w:cs="Arial"/>
          <w:color w:val="000000" w:themeColor="text1"/>
        </w:rPr>
        <w:t xml:space="preserve"> × </w:t>
      </w:r>
      <w:r w:rsidR="0038419E">
        <w:rPr>
          <w:rFonts w:cs="Arial"/>
          <w:color w:val="000000" w:themeColor="text1"/>
        </w:rPr>
        <w:t>4</w:t>
      </w:r>
      <w:r w:rsidR="005E5DEA">
        <w:rPr>
          <w:rFonts w:cs="Arial"/>
          <w:color w:val="000000" w:themeColor="text1"/>
        </w:rPr>
        <w:t xml:space="preserve"> × </w:t>
      </w:r>
      <w:r w:rsidR="0038419E">
        <w:rPr>
          <w:rFonts w:cs="Arial"/>
          <w:color w:val="000000" w:themeColor="text1"/>
        </w:rPr>
        <w:t xml:space="preserve">8 = 960 total players. </w:t>
      </w:r>
      <w:r w:rsidR="0038419E">
        <w:t>Specifically, the sample</w:t>
      </w:r>
      <w:r w:rsidR="00861839">
        <w:t xml:space="preserve"> </w:t>
      </w:r>
      <w:r w:rsidR="00BA69F6">
        <w:t>was</w:t>
      </w:r>
      <w:r w:rsidR="00861839">
        <w:t xml:space="preserve"> </w:t>
      </w:r>
      <w:r w:rsidR="00247DAD">
        <w:t xml:space="preserve">League of Legends </w:t>
      </w:r>
      <w:r w:rsidR="00861839">
        <w:t xml:space="preserve">players who had achieved the </w:t>
      </w:r>
      <w:r w:rsidR="00357FE3">
        <w:rPr>
          <w:rFonts w:cs="Arial"/>
          <w:color w:val="000000" w:themeColor="text1"/>
        </w:rPr>
        <w:t>Challenger, Grandmaster, Master</w:t>
      </w:r>
      <w:r w:rsidR="00B5774B">
        <w:rPr>
          <w:rFonts w:cs="Arial"/>
          <w:color w:val="000000" w:themeColor="text1"/>
        </w:rPr>
        <w:t xml:space="preserve">, or Emerald I </w:t>
      </w:r>
      <w:r w:rsidR="00861839">
        <w:rPr>
          <w:rFonts w:cs="Arial"/>
          <w:color w:val="000000" w:themeColor="text1"/>
        </w:rPr>
        <w:t xml:space="preserve">tiers </w:t>
      </w:r>
      <w:r w:rsidR="00357FE3">
        <w:rPr>
          <w:rFonts w:cs="Arial"/>
          <w:color w:val="000000" w:themeColor="text1"/>
        </w:rPr>
        <w:t>of the matchmaking ladder.</w:t>
      </w:r>
      <w:r w:rsidR="00B5774B">
        <w:rPr>
          <w:rFonts w:cs="Arial"/>
          <w:color w:val="000000" w:themeColor="text1"/>
        </w:rPr>
        <w:t xml:space="preserve"> It is difficult to provide the exact distribution of these players as thousands of games are being played at any one time</w:t>
      </w:r>
      <w:r w:rsidR="00367ECB">
        <w:rPr>
          <w:rFonts w:cs="Arial"/>
          <w:color w:val="000000" w:themeColor="text1"/>
        </w:rPr>
        <w:t>,</w:t>
      </w:r>
      <w:r w:rsidR="00B5774B">
        <w:rPr>
          <w:rFonts w:cs="Arial"/>
          <w:color w:val="000000" w:themeColor="text1"/>
        </w:rPr>
        <w:t xml:space="preserve"> and the distributions shift dynamically</w:t>
      </w:r>
      <w:r>
        <w:rPr>
          <w:rFonts w:cs="Arial"/>
          <w:color w:val="000000" w:themeColor="text1"/>
        </w:rPr>
        <w:t>;</w:t>
      </w:r>
      <w:r w:rsidR="00B5774B">
        <w:rPr>
          <w:rFonts w:cs="Arial"/>
          <w:color w:val="000000" w:themeColor="text1"/>
        </w:rPr>
        <w:t xml:space="preserve"> however, Challenger is </w:t>
      </w:r>
      <w:r w:rsidR="00367ECB">
        <w:rPr>
          <w:rFonts w:cs="Arial"/>
          <w:color w:val="000000" w:themeColor="text1"/>
        </w:rPr>
        <w:t xml:space="preserve">in </w:t>
      </w:r>
      <w:r w:rsidR="00B5774B">
        <w:rPr>
          <w:rFonts w:cs="Arial"/>
          <w:color w:val="000000" w:themeColor="text1"/>
        </w:rPr>
        <w:t>approximately the top 0.025% of players in a region, Grandmaster</w:t>
      </w:r>
      <w:r w:rsidR="00313666">
        <w:rPr>
          <w:rFonts w:cs="Arial"/>
          <w:color w:val="000000" w:themeColor="text1"/>
        </w:rPr>
        <w:t xml:space="preserve"> is 0.025</w:t>
      </w:r>
      <w:r w:rsidR="005E5DEA">
        <w:rPr>
          <w:rFonts w:cs="Arial"/>
          <w:color w:val="000000" w:themeColor="text1"/>
        </w:rPr>
        <w:t xml:space="preserve"> – </w:t>
      </w:r>
      <w:r w:rsidR="00313666">
        <w:rPr>
          <w:rFonts w:cs="Arial"/>
          <w:color w:val="000000" w:themeColor="text1"/>
        </w:rPr>
        <w:t>0.075%, and Master is 0.075</w:t>
      </w:r>
      <w:r w:rsidR="005E5DEA">
        <w:rPr>
          <w:rFonts w:cs="Arial"/>
          <w:color w:val="000000" w:themeColor="text1"/>
        </w:rPr>
        <w:t xml:space="preserve"> – </w:t>
      </w:r>
      <w:r w:rsidR="00313666">
        <w:rPr>
          <w:rFonts w:cs="Arial"/>
          <w:color w:val="000000" w:themeColor="text1"/>
        </w:rPr>
        <w:t>0.85%</w:t>
      </w:r>
      <w:r w:rsidR="00A20F3D">
        <w:rPr>
          <w:rFonts w:cs="Arial"/>
          <w:color w:val="000000" w:themeColor="text1"/>
        </w:rPr>
        <w:t xml:space="preserve"> </w:t>
      </w:r>
      <w:r w:rsidR="00A20F3D">
        <w:rPr>
          <w:rFonts w:cs="Arial"/>
          <w:color w:val="000000" w:themeColor="text1"/>
        </w:rPr>
        <w:fldChar w:fldCharType="begin"/>
      </w:r>
      <w:r w:rsidR="00EC10D9">
        <w:rPr>
          <w:rFonts w:cs="Arial"/>
          <w:color w:val="000000" w:themeColor="text1"/>
        </w:rPr>
        <w:instrText xml:space="preserve"> ADDIN ZOTERO_ITEM CSL_CITATION {"citationID":"OYnoMUcT","properties":{"formattedCitation":"(League of Graphs, 2024)","plainCitation":"(League of Graphs, 2024)","noteIndex":0},"citationItems":[{"id":799,"uris":["http://zotero.org/users/13125511/items/9L8SZYFE"],"itemData":{"id":799,"type":"webpage","container-title":"League of Graphs","language":"en","title":"Rank distribution - League of Legends","URL":"https://www.leagueofgraphs.com/rankings/rank-distribution","author":[{"family":"League of Graphs","given":""}],"accessed":{"date-parts":[["2024",9,26]]},"issued":{"date-parts":[["2024"]]},"citation-key":"leagueofgraphsRankDistributionLeague2024"}}],"schema":"https://github.com/citation-style-language/schema/raw/master/csl-citation.json"} </w:instrText>
      </w:r>
      <w:r w:rsidR="00A20F3D">
        <w:rPr>
          <w:rFonts w:cs="Arial"/>
          <w:color w:val="000000" w:themeColor="text1"/>
        </w:rPr>
        <w:fldChar w:fldCharType="separate"/>
      </w:r>
      <w:r w:rsidR="00A20F3D" w:rsidRPr="00A20F3D">
        <w:rPr>
          <w:rFonts w:cs="Arial"/>
        </w:rPr>
        <w:t>(League of Graphs, 2024)</w:t>
      </w:r>
      <w:r w:rsidR="00A20F3D">
        <w:rPr>
          <w:rFonts w:cs="Arial"/>
          <w:color w:val="000000" w:themeColor="text1"/>
        </w:rPr>
        <w:fldChar w:fldCharType="end"/>
      </w:r>
      <w:r w:rsidR="00313666">
        <w:rPr>
          <w:rFonts w:cs="Arial"/>
          <w:color w:val="000000" w:themeColor="text1"/>
        </w:rPr>
        <w:t>.</w:t>
      </w:r>
      <w:r w:rsidR="00861839">
        <w:rPr>
          <w:rFonts w:cs="Arial"/>
          <w:color w:val="000000" w:themeColor="text1"/>
        </w:rPr>
        <w:t xml:space="preserve"> </w:t>
      </w:r>
      <w:r w:rsidR="00313666">
        <w:rPr>
          <w:rFonts w:cs="Arial"/>
          <w:color w:val="000000" w:themeColor="text1"/>
        </w:rPr>
        <w:t>Comparatively,</w:t>
      </w:r>
      <w:r w:rsidR="0074291E">
        <w:rPr>
          <w:rFonts w:cs="Arial"/>
          <w:color w:val="000000" w:themeColor="text1"/>
        </w:rPr>
        <w:t xml:space="preserve"> Emerald</w:t>
      </w:r>
      <w:r w:rsidR="00FA05BB">
        <w:rPr>
          <w:rFonts w:cs="Arial"/>
          <w:color w:val="000000" w:themeColor="text1"/>
        </w:rPr>
        <w:t xml:space="preserve"> </w:t>
      </w:r>
      <w:r w:rsidR="00313666">
        <w:rPr>
          <w:rFonts w:cs="Arial"/>
          <w:color w:val="000000" w:themeColor="text1"/>
        </w:rPr>
        <w:t xml:space="preserve">I </w:t>
      </w:r>
      <w:r w:rsidR="00FA05BB">
        <w:rPr>
          <w:rFonts w:cs="Arial"/>
          <w:color w:val="000000" w:themeColor="text1"/>
        </w:rPr>
        <w:t>players</w:t>
      </w:r>
      <w:r w:rsidR="00111D7F">
        <w:rPr>
          <w:rFonts w:cs="Arial"/>
          <w:color w:val="000000" w:themeColor="text1"/>
        </w:rPr>
        <w:t xml:space="preserve"> </w:t>
      </w:r>
      <w:r w:rsidR="00313666">
        <w:rPr>
          <w:rFonts w:cs="Arial"/>
          <w:color w:val="000000" w:themeColor="text1"/>
        </w:rPr>
        <w:t>are approximately the top</w:t>
      </w:r>
      <w:r w:rsidR="00111D7F">
        <w:rPr>
          <w:rFonts w:cs="Arial"/>
          <w:color w:val="000000" w:themeColor="text1"/>
        </w:rPr>
        <w:t xml:space="preserve"> </w:t>
      </w:r>
      <w:r w:rsidR="00313666">
        <w:rPr>
          <w:rFonts w:cs="Arial"/>
          <w:color w:val="000000" w:themeColor="text1"/>
        </w:rPr>
        <w:t>6</w:t>
      </w:r>
      <w:r w:rsidR="005E5DEA">
        <w:rPr>
          <w:rFonts w:cs="Arial"/>
          <w:color w:val="000000" w:themeColor="text1"/>
        </w:rPr>
        <w:t xml:space="preserve"> – </w:t>
      </w:r>
      <w:r w:rsidR="00313666">
        <w:rPr>
          <w:rFonts w:cs="Arial"/>
          <w:color w:val="000000" w:themeColor="text1"/>
        </w:rPr>
        <w:t>7</w:t>
      </w:r>
      <w:r w:rsidR="00111D7F">
        <w:rPr>
          <w:rFonts w:cs="Arial"/>
          <w:color w:val="000000" w:themeColor="text1"/>
        </w:rPr>
        <w:t>%</w:t>
      </w:r>
      <w:r w:rsidR="00384B39">
        <w:rPr>
          <w:rFonts w:cs="Arial"/>
          <w:color w:val="000000" w:themeColor="text1"/>
        </w:rPr>
        <w:t>, representing skilled players with less relative expertise than the top three tiers</w:t>
      </w:r>
      <w:r w:rsidR="0074291E">
        <w:rPr>
          <w:rFonts w:cs="Arial"/>
          <w:color w:val="000000" w:themeColor="text1"/>
        </w:rPr>
        <w:t>.</w:t>
      </w:r>
      <w:r w:rsidR="00626FC6">
        <w:rPr>
          <w:rFonts w:cs="Arial"/>
          <w:color w:val="000000" w:themeColor="text1"/>
        </w:rPr>
        <w:t xml:space="preserve"> </w:t>
      </w:r>
    </w:p>
    <w:p w14:paraId="2F7C2CDA" w14:textId="292E7F8A" w:rsidR="008A0F4E" w:rsidRDefault="00531B98" w:rsidP="0094686F">
      <w:pPr>
        <w:ind w:firstLine="720"/>
        <w:rPr>
          <w:rFonts w:cs="Arial"/>
          <w:color w:val="000000" w:themeColor="text1"/>
        </w:rPr>
      </w:pPr>
      <w:r>
        <w:rPr>
          <w:rFonts w:cs="Arial"/>
          <w:color w:val="000000" w:themeColor="text1"/>
        </w:rPr>
        <w:lastRenderedPageBreak/>
        <w:t xml:space="preserve">Given the API rate limits and data processing times, we </w:t>
      </w:r>
      <w:r w:rsidR="004E6B93">
        <w:rPr>
          <w:rFonts w:cs="Arial"/>
          <w:color w:val="000000" w:themeColor="text1"/>
        </w:rPr>
        <w:t>sampled two servers</w:t>
      </w:r>
      <w:r w:rsidR="00B448EF">
        <w:rPr>
          <w:rFonts w:cs="Arial"/>
          <w:color w:val="000000" w:themeColor="text1"/>
        </w:rPr>
        <w:t xml:space="preserve"> from</w:t>
      </w:r>
      <w:r w:rsidR="00313666">
        <w:rPr>
          <w:rFonts w:cs="Arial"/>
          <w:color w:val="000000" w:themeColor="text1"/>
        </w:rPr>
        <w:t xml:space="preserve"> each of</w:t>
      </w:r>
      <w:r w:rsidR="00B448EF">
        <w:rPr>
          <w:rFonts w:cs="Arial"/>
          <w:color w:val="000000" w:themeColor="text1"/>
        </w:rPr>
        <w:t xml:space="preserve"> </w:t>
      </w:r>
      <w:r w:rsidR="00222638">
        <w:rPr>
          <w:rFonts w:cs="Arial"/>
          <w:color w:val="000000" w:themeColor="text1"/>
        </w:rPr>
        <w:t xml:space="preserve">the </w:t>
      </w:r>
      <w:r w:rsidR="00635F64">
        <w:rPr>
          <w:rFonts w:cs="Arial"/>
          <w:color w:val="000000" w:themeColor="text1"/>
        </w:rPr>
        <w:t>four regions</w:t>
      </w:r>
      <w:r w:rsidR="00B64F0A">
        <w:rPr>
          <w:rFonts w:cs="Arial"/>
          <w:color w:val="000000" w:themeColor="text1"/>
        </w:rPr>
        <w:t xml:space="preserve"> as defined by the Riot Games API documentation</w:t>
      </w:r>
      <w:r w:rsidR="00635F64">
        <w:rPr>
          <w:rFonts w:cs="Arial"/>
          <w:color w:val="000000" w:themeColor="text1"/>
        </w:rPr>
        <w:t xml:space="preserve"> (Americas, Europe, Asia, and </w:t>
      </w:r>
      <w:r w:rsidR="001A4FC1">
        <w:rPr>
          <w:rFonts w:cs="Arial"/>
          <w:color w:val="000000" w:themeColor="text1"/>
        </w:rPr>
        <w:t>Southeast</w:t>
      </w:r>
      <w:r w:rsidR="00635F64">
        <w:rPr>
          <w:rFonts w:cs="Arial"/>
          <w:color w:val="000000" w:themeColor="text1"/>
        </w:rPr>
        <w:t xml:space="preserve"> Asia).</w:t>
      </w:r>
      <w:r w:rsidR="008C1C94">
        <w:rPr>
          <w:rFonts w:cs="Arial"/>
          <w:color w:val="000000" w:themeColor="text1"/>
        </w:rPr>
        <w:t xml:space="preserve"> </w:t>
      </w:r>
      <w:r w:rsidR="00A147BB">
        <w:rPr>
          <w:rFonts w:cs="Arial"/>
          <w:color w:val="000000" w:themeColor="text1"/>
        </w:rPr>
        <w:t xml:space="preserve">The sampling approach aimed to approximate a representative sample of high-tier players across diverse regions and server sizes. </w:t>
      </w:r>
      <w:r w:rsidR="001A4FC1">
        <w:rPr>
          <w:rFonts w:cs="Arial"/>
          <w:color w:val="000000" w:themeColor="text1"/>
        </w:rPr>
        <w:t>The</w:t>
      </w:r>
      <w:r w:rsidR="00A147BB">
        <w:rPr>
          <w:rFonts w:cs="Arial"/>
          <w:color w:val="000000" w:themeColor="text1"/>
        </w:rPr>
        <w:t>refore, within each region, we included</w:t>
      </w:r>
      <w:r w:rsidR="00151205">
        <w:rPr>
          <w:rFonts w:cs="Arial"/>
          <w:color w:val="000000" w:themeColor="text1"/>
        </w:rPr>
        <w:t xml:space="preserve"> </w:t>
      </w:r>
      <w:r w:rsidR="008C1C94">
        <w:rPr>
          <w:rFonts w:cs="Arial"/>
          <w:color w:val="000000" w:themeColor="text1"/>
        </w:rPr>
        <w:t xml:space="preserve">one </w:t>
      </w:r>
      <w:r w:rsidR="00A147BB">
        <w:rPr>
          <w:rFonts w:cs="Arial"/>
          <w:color w:val="000000" w:themeColor="text1"/>
        </w:rPr>
        <w:t xml:space="preserve">server </w:t>
      </w:r>
      <w:r w:rsidR="008C1C94">
        <w:rPr>
          <w:rFonts w:cs="Arial"/>
          <w:color w:val="000000" w:themeColor="text1"/>
        </w:rPr>
        <w:t xml:space="preserve">with a relatively high number of </w:t>
      </w:r>
      <w:r w:rsidR="00364F4D">
        <w:rPr>
          <w:rFonts w:cs="Arial"/>
          <w:color w:val="000000" w:themeColor="text1"/>
        </w:rPr>
        <w:t xml:space="preserve">total </w:t>
      </w:r>
      <w:r w:rsidR="008C1C94">
        <w:rPr>
          <w:rFonts w:cs="Arial"/>
          <w:color w:val="000000" w:themeColor="text1"/>
        </w:rPr>
        <w:t>players</w:t>
      </w:r>
      <w:r w:rsidR="00364F4D">
        <w:rPr>
          <w:rFonts w:cs="Arial"/>
          <w:color w:val="000000" w:themeColor="text1"/>
        </w:rPr>
        <w:t xml:space="preserve"> across all tiers</w:t>
      </w:r>
      <w:r w:rsidR="008C1C94">
        <w:rPr>
          <w:rFonts w:cs="Arial"/>
          <w:color w:val="000000" w:themeColor="text1"/>
        </w:rPr>
        <w:t xml:space="preserve"> and one with a relatively low number of </w:t>
      </w:r>
      <w:r w:rsidR="00364F4D">
        <w:rPr>
          <w:rFonts w:cs="Arial"/>
          <w:color w:val="000000" w:themeColor="text1"/>
        </w:rPr>
        <w:t xml:space="preserve">total </w:t>
      </w:r>
      <w:r w:rsidR="008C1C94">
        <w:rPr>
          <w:rFonts w:cs="Arial"/>
          <w:color w:val="000000" w:themeColor="text1"/>
        </w:rPr>
        <w:t>players</w:t>
      </w:r>
      <w:r w:rsidR="00364F4D">
        <w:rPr>
          <w:rFonts w:cs="Arial"/>
          <w:color w:val="000000" w:themeColor="text1"/>
        </w:rPr>
        <w:t xml:space="preserve"> across all tiers</w:t>
      </w:r>
      <w:r w:rsidR="008C1C94">
        <w:rPr>
          <w:rFonts w:cs="Arial"/>
          <w:color w:val="000000" w:themeColor="text1"/>
        </w:rPr>
        <w:t>. The</w:t>
      </w:r>
      <w:r w:rsidR="00364F4D">
        <w:rPr>
          <w:rFonts w:cs="Arial"/>
          <w:color w:val="000000" w:themeColor="text1"/>
        </w:rPr>
        <w:t xml:space="preserve"> servers in the </w:t>
      </w:r>
      <w:r w:rsidR="00422112">
        <w:rPr>
          <w:rFonts w:cs="Arial"/>
          <w:color w:val="000000" w:themeColor="text1"/>
        </w:rPr>
        <w:t>relatively large category</w:t>
      </w:r>
      <w:r w:rsidR="00364F4D">
        <w:rPr>
          <w:rFonts w:cs="Arial"/>
          <w:color w:val="000000" w:themeColor="text1"/>
        </w:rPr>
        <w:t xml:space="preserve"> were North America, Korea, Europe West, and Vietnam. The servers</w:t>
      </w:r>
      <w:r w:rsidR="00422112">
        <w:rPr>
          <w:rFonts w:cs="Arial"/>
          <w:color w:val="000000" w:themeColor="text1"/>
        </w:rPr>
        <w:t xml:space="preserve"> in the relatively small sample</w:t>
      </w:r>
      <w:r w:rsidR="00364F4D">
        <w:rPr>
          <w:rFonts w:cs="Arial"/>
          <w:color w:val="000000" w:themeColor="text1"/>
        </w:rPr>
        <w:t xml:space="preserve"> were Brazil, Japan, </w:t>
      </w:r>
      <w:r w:rsidR="00DB65AD">
        <w:rPr>
          <w:rFonts w:cs="Arial"/>
          <w:color w:val="000000" w:themeColor="text1"/>
        </w:rPr>
        <w:t xml:space="preserve">Russia, and </w:t>
      </w:r>
      <w:r w:rsidR="00F35A80" w:rsidRPr="00F35A80">
        <w:rPr>
          <w:rFonts w:cs="Arial"/>
          <w:color w:val="000000" w:themeColor="text1"/>
        </w:rPr>
        <w:t>Singapore, Malaysia, and Indonesia</w:t>
      </w:r>
      <w:r w:rsidR="00F46785">
        <w:rPr>
          <w:rFonts w:cs="Arial"/>
          <w:color w:val="000000" w:themeColor="text1"/>
        </w:rPr>
        <w:t xml:space="preserve"> (a combined server)</w:t>
      </w:r>
      <w:r w:rsidR="00DB65AD">
        <w:rPr>
          <w:rFonts w:cs="Arial"/>
          <w:color w:val="000000" w:themeColor="text1"/>
        </w:rPr>
        <w:t>.</w:t>
      </w:r>
      <w:r w:rsidR="00997A5B">
        <w:rPr>
          <w:rFonts w:cs="Arial"/>
          <w:color w:val="000000" w:themeColor="text1"/>
        </w:rPr>
        <w:t xml:space="preserve"> </w:t>
      </w:r>
      <w:r w:rsidR="00AD75C1">
        <w:rPr>
          <w:rFonts w:cs="Arial"/>
          <w:color w:val="000000" w:themeColor="text1"/>
        </w:rPr>
        <w:t xml:space="preserve">We implemented a randomised sampling approach via R statistical software from each server </w:t>
      </w:r>
      <w:r w:rsidR="00A147BB">
        <w:rPr>
          <w:rFonts w:cs="Arial"/>
          <w:color w:val="000000" w:themeColor="text1"/>
        </w:rPr>
        <w:t>to select</w:t>
      </w:r>
      <w:r w:rsidR="003C18CB">
        <w:rPr>
          <w:rFonts w:cs="Arial"/>
          <w:color w:val="000000" w:themeColor="text1"/>
        </w:rPr>
        <w:t xml:space="preserve"> </w:t>
      </w:r>
      <w:r w:rsidR="002F0E8D">
        <w:rPr>
          <w:rFonts w:cs="Arial"/>
          <w:color w:val="000000" w:themeColor="text1"/>
        </w:rPr>
        <w:t xml:space="preserve">30 </w:t>
      </w:r>
      <w:r w:rsidR="00A147BB">
        <w:rPr>
          <w:rFonts w:cs="Arial"/>
          <w:color w:val="000000" w:themeColor="text1"/>
        </w:rPr>
        <w:t xml:space="preserve">random </w:t>
      </w:r>
      <w:r w:rsidR="002F0E8D">
        <w:rPr>
          <w:rFonts w:cs="Arial"/>
          <w:color w:val="000000" w:themeColor="text1"/>
        </w:rPr>
        <w:t>players</w:t>
      </w:r>
      <w:r w:rsidR="0038419E">
        <w:rPr>
          <w:rFonts w:cs="Arial"/>
          <w:color w:val="000000" w:themeColor="text1"/>
        </w:rPr>
        <w:t xml:space="preserve"> ranked in each tier</w:t>
      </w:r>
      <w:r w:rsidR="00A147BB">
        <w:rPr>
          <w:rFonts w:cs="Arial"/>
          <w:color w:val="000000" w:themeColor="text1"/>
        </w:rPr>
        <w:t xml:space="preserve"> from a list of queried players returned by the API.</w:t>
      </w:r>
      <w:r w:rsidR="00672FAC">
        <w:rPr>
          <w:rFonts w:cs="Arial"/>
          <w:color w:val="000000" w:themeColor="text1"/>
        </w:rPr>
        <w:t xml:space="preserve"> </w:t>
      </w:r>
      <w:r w:rsidR="00E47791">
        <w:rPr>
          <w:rFonts w:cs="Arial"/>
          <w:color w:val="000000" w:themeColor="text1"/>
        </w:rPr>
        <w:t xml:space="preserve">However, not all servers had 30 players within each tier </w:t>
      </w:r>
      <w:r w:rsidR="00172A01">
        <w:rPr>
          <w:rFonts w:cs="Arial"/>
          <w:color w:val="000000" w:themeColor="text1"/>
        </w:rPr>
        <w:t>when</w:t>
      </w:r>
      <w:r w:rsidR="00A147BB">
        <w:rPr>
          <w:rFonts w:cs="Arial"/>
          <w:color w:val="000000" w:themeColor="text1"/>
        </w:rPr>
        <w:t xml:space="preserve"> the data were collected</w:t>
      </w:r>
      <w:r w:rsidR="0077488D">
        <w:rPr>
          <w:rFonts w:cs="Arial"/>
          <w:color w:val="000000" w:themeColor="text1"/>
        </w:rPr>
        <w:t>, possibly due to the recent beginning of a new League of Legends season</w:t>
      </w:r>
      <w:r w:rsidR="005F63A2">
        <w:rPr>
          <w:rFonts w:cs="Arial"/>
          <w:color w:val="000000" w:themeColor="text1"/>
        </w:rPr>
        <w:t>,</w:t>
      </w:r>
      <w:r w:rsidR="0077488D">
        <w:rPr>
          <w:rFonts w:cs="Arial"/>
          <w:color w:val="000000" w:themeColor="text1"/>
        </w:rPr>
        <w:t xml:space="preserve"> which resets the player rankings</w:t>
      </w:r>
      <w:r w:rsidR="0038419E">
        <w:rPr>
          <w:rFonts w:cs="Arial"/>
          <w:color w:val="000000" w:themeColor="text1"/>
        </w:rPr>
        <w:t xml:space="preserve">. </w:t>
      </w:r>
      <w:r w:rsidR="003C3261">
        <w:rPr>
          <w:rFonts w:cs="Arial"/>
          <w:color w:val="000000" w:themeColor="text1"/>
        </w:rPr>
        <w:t xml:space="preserve">We included all available players from </w:t>
      </w:r>
      <w:r w:rsidR="006A5482">
        <w:rPr>
          <w:rFonts w:cs="Arial"/>
          <w:color w:val="000000" w:themeColor="text1"/>
        </w:rPr>
        <w:t xml:space="preserve">the tier when fewer than 30 were </w:t>
      </w:r>
      <w:r w:rsidR="006574F1">
        <w:rPr>
          <w:rFonts w:cs="Arial"/>
          <w:color w:val="000000" w:themeColor="text1"/>
        </w:rPr>
        <w:t>present</w:t>
      </w:r>
      <w:r w:rsidR="008A0F4E">
        <w:rPr>
          <w:rFonts w:cs="Arial"/>
          <w:color w:val="000000" w:themeColor="text1"/>
        </w:rPr>
        <w:t>;</w:t>
      </w:r>
      <w:r w:rsidR="006574F1">
        <w:rPr>
          <w:rFonts w:cs="Arial"/>
          <w:color w:val="000000" w:themeColor="text1"/>
        </w:rPr>
        <w:t xml:space="preserve"> therefore, the sample represents a disproportionate stratified random sampling approach as the small cohorts of highest performing players are of interest when studying expertise. </w:t>
      </w:r>
    </w:p>
    <w:p w14:paraId="4E35F8F4" w14:textId="365253E5" w:rsidR="00417293" w:rsidRDefault="00417293" w:rsidP="0094686F">
      <w:pPr>
        <w:ind w:firstLine="720"/>
        <w:rPr>
          <w:rFonts w:cs="Arial"/>
          <w:color w:val="000000" w:themeColor="text1"/>
        </w:rPr>
      </w:pPr>
      <w:r>
        <w:rPr>
          <w:rFonts w:cs="Arial"/>
          <w:color w:val="000000" w:themeColor="text1"/>
        </w:rPr>
        <w:t xml:space="preserve">The </w:t>
      </w:r>
      <w:r w:rsidR="00502A24">
        <w:rPr>
          <w:rFonts w:cs="Arial"/>
          <w:color w:val="000000" w:themeColor="text1"/>
        </w:rPr>
        <w:t>Southern Cross University Human Research Ethics</w:t>
      </w:r>
      <w:r>
        <w:rPr>
          <w:rFonts w:cs="Arial"/>
          <w:color w:val="000000" w:themeColor="text1"/>
        </w:rPr>
        <w:t xml:space="preserve"> </w:t>
      </w:r>
      <w:r w:rsidR="00502A24">
        <w:rPr>
          <w:rFonts w:cs="Arial"/>
          <w:color w:val="000000" w:themeColor="text1"/>
        </w:rPr>
        <w:t>C</w:t>
      </w:r>
      <w:r>
        <w:rPr>
          <w:rFonts w:cs="Arial"/>
          <w:color w:val="000000" w:themeColor="text1"/>
        </w:rPr>
        <w:t>ommittee approved the current study (approval number</w:t>
      </w:r>
      <w:r w:rsidR="00502A24">
        <w:rPr>
          <w:rFonts w:cs="Arial"/>
          <w:color w:val="000000" w:themeColor="text1"/>
        </w:rPr>
        <w:t>: 2024/043</w:t>
      </w:r>
      <w:r>
        <w:rPr>
          <w:rFonts w:cs="Arial"/>
          <w:color w:val="000000" w:themeColor="text1"/>
        </w:rPr>
        <w:t xml:space="preserve">). </w:t>
      </w:r>
    </w:p>
    <w:p w14:paraId="62BA3514" w14:textId="5BD1399C" w:rsidR="00417293" w:rsidRPr="00DA1788" w:rsidRDefault="0050002D" w:rsidP="0050002D">
      <w:pPr>
        <w:pStyle w:val="Heading3"/>
        <w:rPr>
          <w:b/>
          <w:bCs/>
          <w:i w:val="0"/>
          <w:iCs/>
        </w:rPr>
      </w:pPr>
      <w:r w:rsidRPr="00DA1788">
        <w:rPr>
          <w:b/>
          <w:bCs/>
          <w:i w:val="0"/>
          <w:iCs/>
        </w:rPr>
        <w:t>Data processing procedures</w:t>
      </w:r>
    </w:p>
    <w:p w14:paraId="59C8DD41" w14:textId="470F38A7" w:rsidR="00E81C5B" w:rsidRDefault="0038419E" w:rsidP="008A0F4E">
      <w:pPr>
        <w:ind w:firstLine="720"/>
        <w:rPr>
          <w:rFonts w:cs="Arial"/>
          <w:color w:val="000000" w:themeColor="text1"/>
        </w:rPr>
      </w:pPr>
      <w:r>
        <w:t>We queried data from the Riot Games API using an approved development API key</w:t>
      </w:r>
      <w:r w:rsidR="008A50E8">
        <w:t>. We used</w:t>
      </w:r>
      <w:r>
        <w:t xml:space="preserve"> R statistical programming to access the last 100</w:t>
      </w:r>
      <w:r w:rsidR="006E02CA">
        <w:t xml:space="preserve"> completed</w:t>
      </w:r>
      <w:r>
        <w:t xml:space="preserve"> matches of each player within the sample. Although the API stores up to 1000 games of data per player, it was not feasible to query such a high volume of data for 9</w:t>
      </w:r>
      <w:r w:rsidR="00A67516">
        <w:t>13</w:t>
      </w:r>
      <w:r>
        <w:t xml:space="preserve"> players (9</w:t>
      </w:r>
      <w:r w:rsidR="00A67516">
        <w:t>13</w:t>
      </w:r>
      <w:r>
        <w:t>,000 total queries) at a rate limit of 100 queries per two minutes. Parallel processing was implemented to improve processing time (concurrent queries running per server)</w:t>
      </w:r>
      <w:r w:rsidR="00AA767C">
        <w:t>,</w:t>
      </w:r>
      <w:r>
        <w:t xml:space="preserve"> although at most</w:t>
      </w:r>
      <w:r w:rsidR="00AA767C">
        <w:t>,</w:t>
      </w:r>
      <w:r>
        <w:t xml:space="preserve"> this can improve processing by four times</w:t>
      </w:r>
      <w:r w:rsidR="00725403">
        <w:t>,</w:t>
      </w:r>
      <w:r>
        <w:t xml:space="preserve"> given </w:t>
      </w:r>
      <w:r w:rsidR="0020583C">
        <w:t xml:space="preserve">that </w:t>
      </w:r>
      <w:r>
        <w:t>API limits are at the region level. In some cases, matches were unavailable for some players</w:t>
      </w:r>
      <w:r w:rsidR="000E76D2">
        <w:t>,</w:t>
      </w:r>
      <w:r>
        <w:t xml:space="preserve"> so players were only included in the final analysis if their most recent 100</w:t>
      </w:r>
      <w:r w:rsidR="006E02CA">
        <w:t xml:space="preserve"> completed</w:t>
      </w:r>
      <w:r>
        <w:t xml:space="preserve"> matches were returned by the API. </w:t>
      </w:r>
      <w:r>
        <w:rPr>
          <w:rFonts w:cs="Arial"/>
          <w:color w:val="000000" w:themeColor="text1"/>
        </w:rPr>
        <w:t xml:space="preserve">See Table 1 </w:t>
      </w:r>
      <w:r>
        <w:rPr>
          <w:rFonts w:cs="Arial"/>
          <w:color w:val="000000" w:themeColor="text1"/>
        </w:rPr>
        <w:lastRenderedPageBreak/>
        <w:t xml:space="preserve">for the final count of players per tier and server for which the most recent 100 </w:t>
      </w:r>
      <w:r w:rsidR="006E02CA">
        <w:rPr>
          <w:rFonts w:cs="Arial"/>
          <w:color w:val="000000" w:themeColor="text1"/>
        </w:rPr>
        <w:t>completed matches</w:t>
      </w:r>
      <w:r>
        <w:rPr>
          <w:rFonts w:cs="Arial"/>
          <w:color w:val="000000" w:themeColor="text1"/>
        </w:rPr>
        <w:t xml:space="preserve"> were retrieved.</w:t>
      </w:r>
      <w:r w:rsidR="00A147BB">
        <w:rPr>
          <w:rFonts w:cs="Arial"/>
          <w:color w:val="000000" w:themeColor="text1"/>
        </w:rPr>
        <w:t xml:space="preserve"> </w:t>
      </w:r>
      <w:r w:rsidR="00C05DEA">
        <w:rPr>
          <w:rFonts w:cs="Arial"/>
          <w:color w:val="000000" w:themeColor="text1"/>
        </w:rPr>
        <w:t xml:space="preserve">We did not conduct a formal power analysis due to the exploratory nature of the study. Instead, we focused on gathering sufficient data to identify preliminary patterns and generate hypotheses for future research. </w:t>
      </w:r>
    </w:p>
    <w:p w14:paraId="00B43500" w14:textId="77777777" w:rsidR="005D7150" w:rsidRDefault="005D7150" w:rsidP="008A0F4E">
      <w:pPr>
        <w:ind w:firstLine="720"/>
        <w:rPr>
          <w:rFonts w:cs="Arial"/>
          <w:color w:val="000000" w:themeColor="text1"/>
        </w:rPr>
      </w:pPr>
    </w:p>
    <w:p w14:paraId="0300493A" w14:textId="77777777" w:rsidR="005D7150" w:rsidRDefault="005D7150" w:rsidP="005D7150">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w:t>
      </w:r>
    </w:p>
    <w:p w14:paraId="3D05ECC5" w14:textId="77777777" w:rsidR="005D7150" w:rsidRPr="00D8591A" w:rsidRDefault="005D7150" w:rsidP="005D7150">
      <w:pPr>
        <w:rPr>
          <w:i/>
          <w:iCs/>
        </w:rPr>
      </w:pPr>
      <w:r>
        <w:rPr>
          <w:i/>
          <w:iCs/>
        </w:rPr>
        <w:t xml:space="preserve">The sample size per server and tier. </w:t>
      </w:r>
    </w:p>
    <w:tbl>
      <w:tblPr>
        <w:tblStyle w:val="TableGrid"/>
        <w:tblW w:w="0" w:type="auto"/>
        <w:tblLook w:val="04A0" w:firstRow="1" w:lastRow="0" w:firstColumn="1" w:lastColumn="0" w:noHBand="0" w:noVBand="1"/>
      </w:tblPr>
      <w:tblGrid>
        <w:gridCol w:w="1412"/>
        <w:gridCol w:w="863"/>
        <w:gridCol w:w="864"/>
        <w:gridCol w:w="863"/>
        <w:gridCol w:w="863"/>
        <w:gridCol w:w="866"/>
        <w:gridCol w:w="863"/>
        <w:gridCol w:w="864"/>
        <w:gridCol w:w="864"/>
        <w:gridCol w:w="694"/>
      </w:tblGrid>
      <w:tr w:rsidR="005D7150" w:rsidRPr="00ED2047" w14:paraId="1A3166D8" w14:textId="77777777" w:rsidTr="00181211">
        <w:trPr>
          <w:trHeight w:val="340"/>
        </w:trPr>
        <w:tc>
          <w:tcPr>
            <w:tcW w:w="1412" w:type="dxa"/>
            <w:tcBorders>
              <w:top w:val="single" w:sz="12" w:space="0" w:color="auto"/>
              <w:left w:val="nil"/>
              <w:bottom w:val="nil"/>
              <w:right w:val="nil"/>
            </w:tcBorders>
            <w:vAlign w:val="center"/>
          </w:tcPr>
          <w:p w14:paraId="27590BF9" w14:textId="77777777" w:rsidR="005D7150" w:rsidRPr="00ED2047" w:rsidRDefault="005D7150" w:rsidP="00181211">
            <w:pPr>
              <w:spacing w:line="276" w:lineRule="auto"/>
              <w:rPr>
                <w:rFonts w:cs="Arial"/>
                <w:b/>
                <w:bCs/>
                <w:color w:val="000000" w:themeColor="text1"/>
                <w:sz w:val="20"/>
                <w:szCs w:val="20"/>
              </w:rPr>
            </w:pPr>
          </w:p>
        </w:tc>
        <w:tc>
          <w:tcPr>
            <w:tcW w:w="3453" w:type="dxa"/>
            <w:gridSpan w:val="4"/>
            <w:tcBorders>
              <w:top w:val="single" w:sz="12" w:space="0" w:color="auto"/>
              <w:left w:val="nil"/>
              <w:bottom w:val="single" w:sz="4" w:space="0" w:color="auto"/>
              <w:right w:val="nil"/>
            </w:tcBorders>
            <w:vAlign w:val="center"/>
          </w:tcPr>
          <w:p w14:paraId="1E2D2819" w14:textId="77777777" w:rsidR="005D7150" w:rsidRPr="00ED2047" w:rsidRDefault="005D7150" w:rsidP="00181211">
            <w:pPr>
              <w:spacing w:line="276" w:lineRule="auto"/>
              <w:jc w:val="center"/>
              <w:rPr>
                <w:rFonts w:cs="Arial"/>
                <w:b/>
                <w:bCs/>
                <w:color w:val="000000" w:themeColor="text1"/>
                <w:sz w:val="20"/>
                <w:szCs w:val="20"/>
              </w:rPr>
            </w:pPr>
            <w:r>
              <w:rPr>
                <w:rFonts w:cs="Arial"/>
                <w:b/>
                <w:bCs/>
                <w:color w:val="000000" w:themeColor="text1"/>
                <w:sz w:val="20"/>
                <w:szCs w:val="20"/>
              </w:rPr>
              <w:t>Relatively Small</w:t>
            </w:r>
          </w:p>
        </w:tc>
        <w:tc>
          <w:tcPr>
            <w:tcW w:w="3457" w:type="dxa"/>
            <w:gridSpan w:val="4"/>
            <w:tcBorders>
              <w:top w:val="single" w:sz="12" w:space="0" w:color="auto"/>
              <w:left w:val="nil"/>
              <w:bottom w:val="single" w:sz="4" w:space="0" w:color="auto"/>
              <w:right w:val="nil"/>
            </w:tcBorders>
            <w:vAlign w:val="center"/>
          </w:tcPr>
          <w:p w14:paraId="45681C5A" w14:textId="77777777" w:rsidR="005D7150" w:rsidRPr="00ED2047" w:rsidRDefault="005D7150" w:rsidP="00181211">
            <w:pPr>
              <w:spacing w:line="276" w:lineRule="auto"/>
              <w:jc w:val="center"/>
              <w:rPr>
                <w:rFonts w:cs="Arial"/>
                <w:b/>
                <w:bCs/>
                <w:color w:val="000000" w:themeColor="text1"/>
                <w:sz w:val="20"/>
                <w:szCs w:val="20"/>
              </w:rPr>
            </w:pPr>
            <w:r>
              <w:rPr>
                <w:rFonts w:cs="Arial"/>
                <w:b/>
                <w:bCs/>
                <w:color w:val="000000" w:themeColor="text1"/>
                <w:sz w:val="20"/>
                <w:szCs w:val="20"/>
              </w:rPr>
              <w:t>Relatively Large</w:t>
            </w:r>
          </w:p>
        </w:tc>
        <w:tc>
          <w:tcPr>
            <w:tcW w:w="694" w:type="dxa"/>
            <w:tcBorders>
              <w:top w:val="single" w:sz="12" w:space="0" w:color="auto"/>
              <w:left w:val="nil"/>
              <w:bottom w:val="nil"/>
              <w:right w:val="nil"/>
            </w:tcBorders>
            <w:vAlign w:val="center"/>
          </w:tcPr>
          <w:p w14:paraId="4614774C" w14:textId="77777777" w:rsidR="005D7150" w:rsidRPr="00ED2047" w:rsidRDefault="005D7150" w:rsidP="00181211">
            <w:pPr>
              <w:spacing w:line="276" w:lineRule="auto"/>
              <w:jc w:val="center"/>
              <w:rPr>
                <w:rFonts w:cs="Arial"/>
                <w:b/>
                <w:bCs/>
                <w:color w:val="000000" w:themeColor="text1"/>
                <w:sz w:val="20"/>
                <w:szCs w:val="20"/>
              </w:rPr>
            </w:pPr>
          </w:p>
        </w:tc>
      </w:tr>
      <w:tr w:rsidR="005D7150" w:rsidRPr="00ED2047" w14:paraId="6055FB02" w14:textId="77777777" w:rsidTr="00181211">
        <w:trPr>
          <w:trHeight w:val="340"/>
        </w:trPr>
        <w:tc>
          <w:tcPr>
            <w:tcW w:w="1412" w:type="dxa"/>
            <w:tcBorders>
              <w:top w:val="nil"/>
              <w:left w:val="nil"/>
              <w:bottom w:val="single" w:sz="12" w:space="0" w:color="auto"/>
              <w:right w:val="nil"/>
            </w:tcBorders>
            <w:vAlign w:val="center"/>
          </w:tcPr>
          <w:p w14:paraId="744323D7" w14:textId="77777777" w:rsidR="005D7150" w:rsidRPr="00ED2047" w:rsidRDefault="005D7150" w:rsidP="00181211">
            <w:pPr>
              <w:spacing w:line="276" w:lineRule="auto"/>
              <w:rPr>
                <w:rFonts w:cs="Arial"/>
                <w:b/>
                <w:bCs/>
                <w:color w:val="000000" w:themeColor="text1"/>
                <w:sz w:val="20"/>
                <w:szCs w:val="20"/>
              </w:rPr>
            </w:pPr>
            <w:r w:rsidRPr="00ED2047">
              <w:rPr>
                <w:rFonts w:cs="Arial"/>
                <w:b/>
                <w:bCs/>
                <w:color w:val="000000" w:themeColor="text1"/>
                <w:sz w:val="20"/>
                <w:szCs w:val="20"/>
              </w:rPr>
              <w:t>Tier</w:t>
            </w:r>
          </w:p>
        </w:tc>
        <w:tc>
          <w:tcPr>
            <w:tcW w:w="863" w:type="dxa"/>
            <w:tcBorders>
              <w:top w:val="single" w:sz="4" w:space="0" w:color="auto"/>
              <w:left w:val="nil"/>
              <w:bottom w:val="single" w:sz="12" w:space="0" w:color="auto"/>
              <w:right w:val="nil"/>
            </w:tcBorders>
            <w:vAlign w:val="center"/>
          </w:tcPr>
          <w:p w14:paraId="4EC2D1DC" w14:textId="77777777" w:rsidR="005D7150" w:rsidRPr="00692768" w:rsidRDefault="005D7150" w:rsidP="00181211">
            <w:pPr>
              <w:spacing w:line="276" w:lineRule="auto"/>
              <w:jc w:val="center"/>
              <w:rPr>
                <w:rFonts w:cs="Arial"/>
                <w:b/>
                <w:bCs/>
                <w:color w:val="000000" w:themeColor="text1"/>
                <w:sz w:val="20"/>
                <w:szCs w:val="20"/>
              </w:rPr>
            </w:pPr>
            <w:r w:rsidRPr="00692768">
              <w:rPr>
                <w:rFonts w:cs="Arial"/>
                <w:b/>
                <w:bCs/>
                <w:color w:val="000000" w:themeColor="text1"/>
                <w:sz w:val="20"/>
                <w:szCs w:val="20"/>
              </w:rPr>
              <w:t>BR1</w:t>
            </w:r>
          </w:p>
        </w:tc>
        <w:tc>
          <w:tcPr>
            <w:tcW w:w="864" w:type="dxa"/>
            <w:tcBorders>
              <w:top w:val="single" w:sz="4" w:space="0" w:color="auto"/>
              <w:left w:val="nil"/>
              <w:bottom w:val="single" w:sz="12" w:space="0" w:color="auto"/>
              <w:right w:val="nil"/>
            </w:tcBorders>
            <w:vAlign w:val="center"/>
          </w:tcPr>
          <w:p w14:paraId="22F9CE59" w14:textId="77777777" w:rsidR="005D7150" w:rsidRPr="00692768" w:rsidRDefault="005D7150" w:rsidP="00181211">
            <w:pPr>
              <w:spacing w:line="276" w:lineRule="auto"/>
              <w:jc w:val="center"/>
              <w:rPr>
                <w:rFonts w:cs="Arial"/>
                <w:b/>
                <w:bCs/>
                <w:color w:val="000000" w:themeColor="text1"/>
                <w:sz w:val="20"/>
                <w:szCs w:val="20"/>
              </w:rPr>
            </w:pPr>
            <w:r w:rsidRPr="00692768">
              <w:rPr>
                <w:rFonts w:cs="Arial"/>
                <w:b/>
                <w:bCs/>
                <w:color w:val="000000" w:themeColor="text1"/>
                <w:sz w:val="20"/>
                <w:szCs w:val="20"/>
              </w:rPr>
              <w:t>JP1</w:t>
            </w:r>
          </w:p>
        </w:tc>
        <w:tc>
          <w:tcPr>
            <w:tcW w:w="863" w:type="dxa"/>
            <w:tcBorders>
              <w:top w:val="single" w:sz="4" w:space="0" w:color="auto"/>
              <w:left w:val="nil"/>
              <w:bottom w:val="single" w:sz="12" w:space="0" w:color="auto"/>
              <w:right w:val="nil"/>
            </w:tcBorders>
            <w:vAlign w:val="center"/>
          </w:tcPr>
          <w:p w14:paraId="646DF59C" w14:textId="77777777" w:rsidR="005D7150" w:rsidRPr="00692768" w:rsidRDefault="005D7150" w:rsidP="00181211">
            <w:pPr>
              <w:spacing w:line="276" w:lineRule="auto"/>
              <w:jc w:val="center"/>
              <w:rPr>
                <w:rFonts w:cs="Arial"/>
                <w:b/>
                <w:bCs/>
                <w:color w:val="000000" w:themeColor="text1"/>
                <w:sz w:val="20"/>
                <w:szCs w:val="20"/>
              </w:rPr>
            </w:pPr>
            <w:r w:rsidRPr="00692768">
              <w:rPr>
                <w:rFonts w:cs="Arial"/>
                <w:b/>
                <w:bCs/>
                <w:color w:val="000000" w:themeColor="text1"/>
                <w:sz w:val="20"/>
                <w:szCs w:val="20"/>
              </w:rPr>
              <w:t>RU</w:t>
            </w:r>
          </w:p>
        </w:tc>
        <w:tc>
          <w:tcPr>
            <w:tcW w:w="863" w:type="dxa"/>
            <w:tcBorders>
              <w:top w:val="single" w:sz="4" w:space="0" w:color="auto"/>
              <w:left w:val="nil"/>
              <w:bottom w:val="single" w:sz="12" w:space="0" w:color="auto"/>
              <w:right w:val="nil"/>
            </w:tcBorders>
            <w:vAlign w:val="center"/>
          </w:tcPr>
          <w:p w14:paraId="6974543C" w14:textId="77777777" w:rsidR="005D7150" w:rsidRPr="00692768" w:rsidRDefault="005D7150" w:rsidP="00181211">
            <w:pPr>
              <w:spacing w:line="276" w:lineRule="auto"/>
              <w:jc w:val="center"/>
              <w:rPr>
                <w:rFonts w:cs="Arial"/>
                <w:b/>
                <w:bCs/>
                <w:color w:val="000000" w:themeColor="text1"/>
                <w:sz w:val="20"/>
                <w:szCs w:val="20"/>
              </w:rPr>
            </w:pPr>
            <w:r w:rsidRPr="00692768">
              <w:rPr>
                <w:rFonts w:cs="Arial"/>
                <w:b/>
                <w:bCs/>
                <w:color w:val="000000" w:themeColor="text1"/>
                <w:sz w:val="20"/>
                <w:szCs w:val="20"/>
              </w:rPr>
              <w:t>SG2</w:t>
            </w:r>
          </w:p>
        </w:tc>
        <w:tc>
          <w:tcPr>
            <w:tcW w:w="866" w:type="dxa"/>
            <w:tcBorders>
              <w:top w:val="single" w:sz="4" w:space="0" w:color="auto"/>
              <w:left w:val="nil"/>
              <w:bottom w:val="single" w:sz="12" w:space="0" w:color="auto"/>
              <w:right w:val="nil"/>
            </w:tcBorders>
            <w:vAlign w:val="center"/>
          </w:tcPr>
          <w:p w14:paraId="2ED07796" w14:textId="77777777" w:rsidR="005D7150" w:rsidRPr="00ED2047" w:rsidRDefault="005D7150" w:rsidP="00181211">
            <w:pPr>
              <w:spacing w:line="276" w:lineRule="auto"/>
              <w:jc w:val="center"/>
              <w:rPr>
                <w:rFonts w:cs="Arial"/>
                <w:b/>
                <w:bCs/>
                <w:color w:val="000000" w:themeColor="text1"/>
                <w:sz w:val="20"/>
                <w:szCs w:val="20"/>
              </w:rPr>
            </w:pPr>
            <w:r>
              <w:rPr>
                <w:rFonts w:cs="Arial"/>
                <w:b/>
                <w:bCs/>
                <w:color w:val="000000" w:themeColor="text1"/>
                <w:sz w:val="20"/>
                <w:szCs w:val="20"/>
              </w:rPr>
              <w:t>NA</w:t>
            </w:r>
          </w:p>
        </w:tc>
        <w:tc>
          <w:tcPr>
            <w:tcW w:w="863" w:type="dxa"/>
            <w:tcBorders>
              <w:top w:val="single" w:sz="4" w:space="0" w:color="auto"/>
              <w:left w:val="nil"/>
              <w:bottom w:val="single" w:sz="12" w:space="0" w:color="auto"/>
              <w:right w:val="nil"/>
            </w:tcBorders>
            <w:vAlign w:val="center"/>
          </w:tcPr>
          <w:p w14:paraId="0E887DA7" w14:textId="77777777" w:rsidR="005D7150" w:rsidRPr="00ED2047" w:rsidRDefault="005D7150" w:rsidP="00181211">
            <w:pPr>
              <w:spacing w:line="276" w:lineRule="auto"/>
              <w:jc w:val="center"/>
              <w:rPr>
                <w:rFonts w:cs="Arial"/>
                <w:b/>
                <w:bCs/>
                <w:color w:val="000000" w:themeColor="text1"/>
                <w:sz w:val="20"/>
                <w:szCs w:val="20"/>
              </w:rPr>
            </w:pPr>
            <w:r>
              <w:rPr>
                <w:rFonts w:cs="Arial"/>
                <w:b/>
                <w:bCs/>
                <w:color w:val="000000" w:themeColor="text1"/>
                <w:sz w:val="20"/>
                <w:szCs w:val="20"/>
              </w:rPr>
              <w:t>KR</w:t>
            </w:r>
          </w:p>
        </w:tc>
        <w:tc>
          <w:tcPr>
            <w:tcW w:w="864" w:type="dxa"/>
            <w:tcBorders>
              <w:top w:val="single" w:sz="4" w:space="0" w:color="auto"/>
              <w:left w:val="nil"/>
              <w:bottom w:val="single" w:sz="12" w:space="0" w:color="auto"/>
              <w:right w:val="nil"/>
            </w:tcBorders>
            <w:vAlign w:val="center"/>
          </w:tcPr>
          <w:p w14:paraId="25492013" w14:textId="77777777" w:rsidR="005D7150" w:rsidRPr="00ED2047" w:rsidRDefault="005D7150" w:rsidP="00181211">
            <w:pPr>
              <w:spacing w:line="276" w:lineRule="auto"/>
              <w:jc w:val="center"/>
              <w:rPr>
                <w:rFonts w:cs="Arial"/>
                <w:b/>
                <w:bCs/>
                <w:color w:val="000000" w:themeColor="text1"/>
                <w:sz w:val="20"/>
                <w:szCs w:val="20"/>
              </w:rPr>
            </w:pPr>
            <w:r>
              <w:rPr>
                <w:rFonts w:cs="Arial"/>
                <w:b/>
                <w:bCs/>
                <w:color w:val="000000" w:themeColor="text1"/>
                <w:sz w:val="20"/>
                <w:szCs w:val="20"/>
              </w:rPr>
              <w:t>EUW1</w:t>
            </w:r>
          </w:p>
        </w:tc>
        <w:tc>
          <w:tcPr>
            <w:tcW w:w="864" w:type="dxa"/>
            <w:tcBorders>
              <w:top w:val="single" w:sz="4" w:space="0" w:color="auto"/>
              <w:left w:val="nil"/>
              <w:bottom w:val="single" w:sz="12" w:space="0" w:color="auto"/>
              <w:right w:val="nil"/>
            </w:tcBorders>
            <w:vAlign w:val="center"/>
          </w:tcPr>
          <w:p w14:paraId="0160396B" w14:textId="77777777" w:rsidR="005D7150" w:rsidRPr="00ED2047" w:rsidRDefault="005D7150" w:rsidP="00181211">
            <w:pPr>
              <w:spacing w:line="276" w:lineRule="auto"/>
              <w:jc w:val="center"/>
              <w:rPr>
                <w:rFonts w:cs="Arial"/>
                <w:b/>
                <w:bCs/>
                <w:color w:val="000000" w:themeColor="text1"/>
                <w:sz w:val="20"/>
                <w:szCs w:val="20"/>
              </w:rPr>
            </w:pPr>
            <w:r w:rsidRPr="00ED2047">
              <w:rPr>
                <w:rFonts w:cs="Arial"/>
                <w:b/>
                <w:bCs/>
                <w:color w:val="000000" w:themeColor="text1"/>
                <w:sz w:val="20"/>
                <w:szCs w:val="20"/>
              </w:rPr>
              <w:t>VN2</w:t>
            </w:r>
          </w:p>
        </w:tc>
        <w:tc>
          <w:tcPr>
            <w:tcW w:w="694" w:type="dxa"/>
            <w:tcBorders>
              <w:top w:val="nil"/>
              <w:left w:val="nil"/>
              <w:bottom w:val="single" w:sz="12" w:space="0" w:color="auto"/>
              <w:right w:val="nil"/>
            </w:tcBorders>
            <w:vAlign w:val="center"/>
          </w:tcPr>
          <w:p w14:paraId="63878068" w14:textId="77777777" w:rsidR="005D7150" w:rsidRPr="00ED2047" w:rsidRDefault="005D7150" w:rsidP="00181211">
            <w:pPr>
              <w:spacing w:line="276" w:lineRule="auto"/>
              <w:jc w:val="center"/>
              <w:rPr>
                <w:rFonts w:cs="Arial"/>
                <w:b/>
                <w:bCs/>
                <w:color w:val="000000" w:themeColor="text1"/>
                <w:sz w:val="20"/>
                <w:szCs w:val="20"/>
              </w:rPr>
            </w:pPr>
            <w:r w:rsidRPr="00ED2047">
              <w:rPr>
                <w:rFonts w:cs="Arial"/>
                <w:b/>
                <w:bCs/>
                <w:color w:val="000000" w:themeColor="text1"/>
                <w:sz w:val="20"/>
                <w:szCs w:val="20"/>
              </w:rPr>
              <w:t>Total</w:t>
            </w:r>
          </w:p>
        </w:tc>
      </w:tr>
      <w:tr w:rsidR="005D7150" w:rsidRPr="005762D5" w14:paraId="4480AFCF" w14:textId="77777777" w:rsidTr="00181211">
        <w:trPr>
          <w:trHeight w:val="340"/>
        </w:trPr>
        <w:tc>
          <w:tcPr>
            <w:tcW w:w="1412" w:type="dxa"/>
            <w:tcBorders>
              <w:top w:val="single" w:sz="12" w:space="0" w:color="auto"/>
              <w:left w:val="nil"/>
              <w:bottom w:val="nil"/>
              <w:right w:val="nil"/>
            </w:tcBorders>
            <w:vAlign w:val="center"/>
          </w:tcPr>
          <w:p w14:paraId="5D8B703D" w14:textId="77777777" w:rsidR="005D7150" w:rsidRPr="005762D5" w:rsidRDefault="005D7150" w:rsidP="00181211">
            <w:pPr>
              <w:spacing w:line="276" w:lineRule="auto"/>
              <w:rPr>
                <w:rFonts w:cs="Arial"/>
                <w:color w:val="000000" w:themeColor="text1"/>
                <w:sz w:val="20"/>
                <w:szCs w:val="20"/>
              </w:rPr>
            </w:pPr>
            <w:r w:rsidRPr="005762D5">
              <w:rPr>
                <w:rFonts w:cs="Arial"/>
                <w:color w:val="000000" w:themeColor="text1"/>
                <w:sz w:val="20"/>
                <w:szCs w:val="20"/>
              </w:rPr>
              <w:t>Challenger</w:t>
            </w:r>
          </w:p>
        </w:tc>
        <w:tc>
          <w:tcPr>
            <w:tcW w:w="863" w:type="dxa"/>
            <w:tcBorders>
              <w:top w:val="single" w:sz="12" w:space="0" w:color="auto"/>
              <w:left w:val="nil"/>
              <w:bottom w:val="nil"/>
              <w:right w:val="nil"/>
            </w:tcBorders>
            <w:vAlign w:val="center"/>
          </w:tcPr>
          <w:p w14:paraId="495DBF4F"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4" w:type="dxa"/>
            <w:tcBorders>
              <w:top w:val="single" w:sz="12" w:space="0" w:color="auto"/>
              <w:left w:val="nil"/>
              <w:bottom w:val="nil"/>
              <w:right w:val="nil"/>
            </w:tcBorders>
            <w:vAlign w:val="center"/>
          </w:tcPr>
          <w:p w14:paraId="2C8109CD"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3" w:type="dxa"/>
            <w:tcBorders>
              <w:top w:val="single" w:sz="12" w:space="0" w:color="auto"/>
              <w:left w:val="nil"/>
              <w:bottom w:val="nil"/>
              <w:right w:val="nil"/>
            </w:tcBorders>
            <w:vAlign w:val="center"/>
          </w:tcPr>
          <w:p w14:paraId="6D61B79D"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27</w:t>
            </w:r>
          </w:p>
        </w:tc>
        <w:tc>
          <w:tcPr>
            <w:tcW w:w="863" w:type="dxa"/>
            <w:tcBorders>
              <w:top w:val="single" w:sz="12" w:space="0" w:color="auto"/>
              <w:left w:val="nil"/>
              <w:bottom w:val="nil"/>
              <w:right w:val="nil"/>
            </w:tcBorders>
            <w:vAlign w:val="center"/>
          </w:tcPr>
          <w:p w14:paraId="58CE0070"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20</w:t>
            </w:r>
          </w:p>
        </w:tc>
        <w:tc>
          <w:tcPr>
            <w:tcW w:w="866" w:type="dxa"/>
            <w:tcBorders>
              <w:top w:val="single" w:sz="12" w:space="0" w:color="auto"/>
              <w:left w:val="nil"/>
              <w:bottom w:val="nil"/>
              <w:right w:val="nil"/>
            </w:tcBorders>
            <w:vAlign w:val="center"/>
          </w:tcPr>
          <w:p w14:paraId="71F3B302"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3" w:type="dxa"/>
            <w:tcBorders>
              <w:top w:val="single" w:sz="12" w:space="0" w:color="auto"/>
              <w:left w:val="nil"/>
              <w:bottom w:val="nil"/>
              <w:right w:val="nil"/>
            </w:tcBorders>
            <w:vAlign w:val="center"/>
          </w:tcPr>
          <w:p w14:paraId="2D274A44"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4" w:type="dxa"/>
            <w:tcBorders>
              <w:top w:val="single" w:sz="12" w:space="0" w:color="auto"/>
              <w:left w:val="nil"/>
              <w:bottom w:val="nil"/>
              <w:right w:val="nil"/>
            </w:tcBorders>
            <w:vAlign w:val="center"/>
          </w:tcPr>
          <w:p w14:paraId="5758D3F7"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4" w:type="dxa"/>
            <w:tcBorders>
              <w:top w:val="single" w:sz="12" w:space="0" w:color="auto"/>
              <w:left w:val="nil"/>
              <w:bottom w:val="nil"/>
              <w:right w:val="nil"/>
            </w:tcBorders>
            <w:vAlign w:val="center"/>
          </w:tcPr>
          <w:p w14:paraId="05C88C97"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694" w:type="dxa"/>
            <w:tcBorders>
              <w:top w:val="single" w:sz="12" w:space="0" w:color="auto"/>
              <w:left w:val="nil"/>
              <w:bottom w:val="nil"/>
              <w:right w:val="nil"/>
            </w:tcBorders>
            <w:vAlign w:val="center"/>
          </w:tcPr>
          <w:p w14:paraId="79C638DF"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227</w:t>
            </w:r>
          </w:p>
        </w:tc>
      </w:tr>
      <w:tr w:rsidR="005D7150" w:rsidRPr="005762D5" w14:paraId="1A74AA21" w14:textId="77777777" w:rsidTr="00181211">
        <w:trPr>
          <w:trHeight w:val="340"/>
        </w:trPr>
        <w:tc>
          <w:tcPr>
            <w:tcW w:w="1412" w:type="dxa"/>
            <w:tcBorders>
              <w:top w:val="nil"/>
              <w:left w:val="nil"/>
              <w:bottom w:val="nil"/>
              <w:right w:val="nil"/>
            </w:tcBorders>
            <w:vAlign w:val="center"/>
          </w:tcPr>
          <w:p w14:paraId="17E56827" w14:textId="77777777" w:rsidR="005D7150" w:rsidRPr="005762D5" w:rsidRDefault="005D7150" w:rsidP="00181211">
            <w:pPr>
              <w:spacing w:line="276" w:lineRule="auto"/>
              <w:rPr>
                <w:rFonts w:cs="Arial"/>
                <w:color w:val="000000" w:themeColor="text1"/>
                <w:sz w:val="20"/>
                <w:szCs w:val="20"/>
              </w:rPr>
            </w:pPr>
            <w:r w:rsidRPr="005762D5">
              <w:rPr>
                <w:rFonts w:cs="Arial"/>
                <w:color w:val="000000" w:themeColor="text1"/>
                <w:sz w:val="20"/>
                <w:szCs w:val="20"/>
              </w:rPr>
              <w:t>Grandmaster</w:t>
            </w:r>
          </w:p>
        </w:tc>
        <w:tc>
          <w:tcPr>
            <w:tcW w:w="863" w:type="dxa"/>
            <w:tcBorders>
              <w:top w:val="nil"/>
              <w:left w:val="nil"/>
              <w:bottom w:val="nil"/>
              <w:right w:val="nil"/>
            </w:tcBorders>
            <w:vAlign w:val="center"/>
          </w:tcPr>
          <w:p w14:paraId="56D94C60"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4" w:type="dxa"/>
            <w:tcBorders>
              <w:top w:val="nil"/>
              <w:left w:val="nil"/>
              <w:bottom w:val="nil"/>
              <w:right w:val="nil"/>
            </w:tcBorders>
            <w:vAlign w:val="center"/>
          </w:tcPr>
          <w:p w14:paraId="6953DF28"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3" w:type="dxa"/>
            <w:tcBorders>
              <w:top w:val="nil"/>
              <w:left w:val="nil"/>
              <w:bottom w:val="nil"/>
              <w:right w:val="nil"/>
            </w:tcBorders>
            <w:vAlign w:val="center"/>
          </w:tcPr>
          <w:p w14:paraId="51A4EB08"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25</w:t>
            </w:r>
          </w:p>
        </w:tc>
        <w:tc>
          <w:tcPr>
            <w:tcW w:w="863" w:type="dxa"/>
            <w:tcBorders>
              <w:top w:val="nil"/>
              <w:left w:val="nil"/>
              <w:bottom w:val="nil"/>
              <w:right w:val="nil"/>
            </w:tcBorders>
            <w:vAlign w:val="center"/>
          </w:tcPr>
          <w:p w14:paraId="3ED96228"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20</w:t>
            </w:r>
          </w:p>
        </w:tc>
        <w:tc>
          <w:tcPr>
            <w:tcW w:w="866" w:type="dxa"/>
            <w:tcBorders>
              <w:top w:val="nil"/>
              <w:left w:val="nil"/>
              <w:bottom w:val="nil"/>
              <w:right w:val="nil"/>
            </w:tcBorders>
            <w:vAlign w:val="center"/>
          </w:tcPr>
          <w:p w14:paraId="3497609D"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3" w:type="dxa"/>
            <w:tcBorders>
              <w:top w:val="nil"/>
              <w:left w:val="nil"/>
              <w:bottom w:val="nil"/>
              <w:right w:val="nil"/>
            </w:tcBorders>
            <w:vAlign w:val="center"/>
          </w:tcPr>
          <w:p w14:paraId="2E6236D6"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4" w:type="dxa"/>
            <w:tcBorders>
              <w:top w:val="nil"/>
              <w:left w:val="nil"/>
              <w:bottom w:val="nil"/>
              <w:right w:val="nil"/>
            </w:tcBorders>
            <w:vAlign w:val="center"/>
          </w:tcPr>
          <w:p w14:paraId="08DE7461"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4" w:type="dxa"/>
            <w:tcBorders>
              <w:top w:val="nil"/>
              <w:left w:val="nil"/>
              <w:bottom w:val="nil"/>
              <w:right w:val="nil"/>
            </w:tcBorders>
            <w:vAlign w:val="center"/>
          </w:tcPr>
          <w:p w14:paraId="59236F66"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694" w:type="dxa"/>
            <w:tcBorders>
              <w:top w:val="nil"/>
              <w:left w:val="nil"/>
              <w:bottom w:val="nil"/>
              <w:right w:val="nil"/>
            </w:tcBorders>
            <w:vAlign w:val="center"/>
          </w:tcPr>
          <w:p w14:paraId="3F7584CE"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225</w:t>
            </w:r>
          </w:p>
        </w:tc>
      </w:tr>
      <w:tr w:rsidR="005D7150" w:rsidRPr="005762D5" w14:paraId="1CB585A1" w14:textId="77777777" w:rsidTr="00181211">
        <w:trPr>
          <w:trHeight w:val="340"/>
        </w:trPr>
        <w:tc>
          <w:tcPr>
            <w:tcW w:w="1412" w:type="dxa"/>
            <w:tcBorders>
              <w:top w:val="nil"/>
              <w:left w:val="nil"/>
              <w:bottom w:val="nil"/>
              <w:right w:val="nil"/>
            </w:tcBorders>
            <w:vAlign w:val="center"/>
          </w:tcPr>
          <w:p w14:paraId="08AF7EEC" w14:textId="77777777" w:rsidR="005D7150" w:rsidRPr="005762D5" w:rsidRDefault="005D7150" w:rsidP="00181211">
            <w:pPr>
              <w:spacing w:line="276" w:lineRule="auto"/>
              <w:rPr>
                <w:rFonts w:cs="Arial"/>
                <w:color w:val="000000" w:themeColor="text1"/>
                <w:sz w:val="20"/>
                <w:szCs w:val="20"/>
              </w:rPr>
            </w:pPr>
            <w:r w:rsidRPr="005762D5">
              <w:rPr>
                <w:rFonts w:cs="Arial"/>
                <w:color w:val="000000" w:themeColor="text1"/>
                <w:sz w:val="20"/>
                <w:szCs w:val="20"/>
              </w:rPr>
              <w:t>Master</w:t>
            </w:r>
          </w:p>
        </w:tc>
        <w:tc>
          <w:tcPr>
            <w:tcW w:w="863" w:type="dxa"/>
            <w:tcBorders>
              <w:top w:val="nil"/>
              <w:left w:val="nil"/>
              <w:bottom w:val="nil"/>
              <w:right w:val="nil"/>
            </w:tcBorders>
            <w:vAlign w:val="center"/>
          </w:tcPr>
          <w:p w14:paraId="4FA4C96C"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4" w:type="dxa"/>
            <w:tcBorders>
              <w:top w:val="nil"/>
              <w:left w:val="nil"/>
              <w:bottom w:val="nil"/>
              <w:right w:val="nil"/>
            </w:tcBorders>
            <w:vAlign w:val="center"/>
          </w:tcPr>
          <w:p w14:paraId="7FD01C15"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3" w:type="dxa"/>
            <w:tcBorders>
              <w:top w:val="nil"/>
              <w:left w:val="nil"/>
              <w:bottom w:val="nil"/>
              <w:right w:val="nil"/>
            </w:tcBorders>
            <w:vAlign w:val="center"/>
          </w:tcPr>
          <w:p w14:paraId="6DD24863"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3" w:type="dxa"/>
            <w:tcBorders>
              <w:top w:val="nil"/>
              <w:left w:val="nil"/>
              <w:bottom w:val="nil"/>
              <w:right w:val="nil"/>
            </w:tcBorders>
            <w:vAlign w:val="center"/>
          </w:tcPr>
          <w:p w14:paraId="372FFA6C"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25</w:t>
            </w:r>
          </w:p>
        </w:tc>
        <w:tc>
          <w:tcPr>
            <w:tcW w:w="866" w:type="dxa"/>
            <w:tcBorders>
              <w:top w:val="nil"/>
              <w:left w:val="nil"/>
              <w:bottom w:val="nil"/>
              <w:right w:val="nil"/>
            </w:tcBorders>
            <w:vAlign w:val="center"/>
          </w:tcPr>
          <w:p w14:paraId="46A6CFD6"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3" w:type="dxa"/>
            <w:tcBorders>
              <w:top w:val="nil"/>
              <w:left w:val="nil"/>
              <w:bottom w:val="nil"/>
              <w:right w:val="nil"/>
            </w:tcBorders>
            <w:vAlign w:val="center"/>
          </w:tcPr>
          <w:p w14:paraId="08800CFA"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4" w:type="dxa"/>
            <w:tcBorders>
              <w:top w:val="nil"/>
              <w:left w:val="nil"/>
              <w:bottom w:val="nil"/>
              <w:right w:val="nil"/>
            </w:tcBorders>
            <w:vAlign w:val="center"/>
          </w:tcPr>
          <w:p w14:paraId="337E8A32"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4" w:type="dxa"/>
            <w:tcBorders>
              <w:top w:val="nil"/>
              <w:left w:val="nil"/>
              <w:bottom w:val="nil"/>
              <w:right w:val="nil"/>
            </w:tcBorders>
            <w:vAlign w:val="center"/>
          </w:tcPr>
          <w:p w14:paraId="18885C8F"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27</w:t>
            </w:r>
          </w:p>
        </w:tc>
        <w:tc>
          <w:tcPr>
            <w:tcW w:w="694" w:type="dxa"/>
            <w:tcBorders>
              <w:top w:val="nil"/>
              <w:left w:val="nil"/>
              <w:bottom w:val="nil"/>
              <w:right w:val="nil"/>
            </w:tcBorders>
            <w:vAlign w:val="center"/>
          </w:tcPr>
          <w:p w14:paraId="42539CDC"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232</w:t>
            </w:r>
          </w:p>
        </w:tc>
      </w:tr>
      <w:tr w:rsidR="005D7150" w:rsidRPr="005762D5" w14:paraId="315FC673" w14:textId="77777777" w:rsidTr="00181211">
        <w:trPr>
          <w:trHeight w:val="340"/>
        </w:trPr>
        <w:tc>
          <w:tcPr>
            <w:tcW w:w="1412" w:type="dxa"/>
            <w:tcBorders>
              <w:top w:val="nil"/>
              <w:left w:val="nil"/>
              <w:bottom w:val="nil"/>
              <w:right w:val="nil"/>
            </w:tcBorders>
            <w:vAlign w:val="center"/>
          </w:tcPr>
          <w:p w14:paraId="7AD445EE" w14:textId="77777777" w:rsidR="005D7150" w:rsidRPr="005762D5" w:rsidRDefault="005D7150" w:rsidP="00181211">
            <w:pPr>
              <w:spacing w:line="276" w:lineRule="auto"/>
              <w:rPr>
                <w:rFonts w:cs="Arial"/>
                <w:color w:val="000000" w:themeColor="text1"/>
                <w:sz w:val="20"/>
                <w:szCs w:val="20"/>
              </w:rPr>
            </w:pPr>
            <w:r w:rsidRPr="005762D5">
              <w:rPr>
                <w:rFonts w:cs="Arial"/>
                <w:color w:val="000000" w:themeColor="text1"/>
                <w:sz w:val="20"/>
                <w:szCs w:val="20"/>
              </w:rPr>
              <w:t>Emerald</w:t>
            </w:r>
            <w:r>
              <w:rPr>
                <w:rFonts w:cs="Arial"/>
                <w:color w:val="000000" w:themeColor="text1"/>
                <w:sz w:val="20"/>
                <w:szCs w:val="20"/>
              </w:rPr>
              <w:t xml:space="preserve"> I</w:t>
            </w:r>
          </w:p>
        </w:tc>
        <w:tc>
          <w:tcPr>
            <w:tcW w:w="863" w:type="dxa"/>
            <w:tcBorders>
              <w:top w:val="nil"/>
              <w:left w:val="nil"/>
              <w:bottom w:val="nil"/>
              <w:right w:val="nil"/>
            </w:tcBorders>
            <w:vAlign w:val="center"/>
          </w:tcPr>
          <w:p w14:paraId="3C8BB080"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4" w:type="dxa"/>
            <w:tcBorders>
              <w:top w:val="nil"/>
              <w:left w:val="nil"/>
              <w:bottom w:val="nil"/>
              <w:right w:val="nil"/>
            </w:tcBorders>
            <w:vAlign w:val="center"/>
          </w:tcPr>
          <w:p w14:paraId="55FEEDD9"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3" w:type="dxa"/>
            <w:tcBorders>
              <w:top w:val="nil"/>
              <w:left w:val="nil"/>
              <w:bottom w:val="nil"/>
              <w:right w:val="nil"/>
            </w:tcBorders>
            <w:vAlign w:val="center"/>
          </w:tcPr>
          <w:p w14:paraId="2FF78562"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3" w:type="dxa"/>
            <w:tcBorders>
              <w:top w:val="nil"/>
              <w:left w:val="nil"/>
              <w:bottom w:val="nil"/>
              <w:right w:val="nil"/>
            </w:tcBorders>
            <w:vAlign w:val="center"/>
          </w:tcPr>
          <w:p w14:paraId="45C4DB7D"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19</w:t>
            </w:r>
          </w:p>
        </w:tc>
        <w:tc>
          <w:tcPr>
            <w:tcW w:w="866" w:type="dxa"/>
            <w:tcBorders>
              <w:top w:val="nil"/>
              <w:left w:val="nil"/>
              <w:bottom w:val="nil"/>
              <w:right w:val="nil"/>
            </w:tcBorders>
            <w:vAlign w:val="center"/>
          </w:tcPr>
          <w:p w14:paraId="2C2530EA"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3" w:type="dxa"/>
            <w:tcBorders>
              <w:top w:val="nil"/>
              <w:left w:val="nil"/>
              <w:bottom w:val="nil"/>
              <w:right w:val="nil"/>
            </w:tcBorders>
            <w:vAlign w:val="center"/>
          </w:tcPr>
          <w:p w14:paraId="29D24711"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4" w:type="dxa"/>
            <w:tcBorders>
              <w:top w:val="nil"/>
              <w:left w:val="nil"/>
              <w:bottom w:val="nil"/>
              <w:right w:val="nil"/>
            </w:tcBorders>
            <w:vAlign w:val="center"/>
          </w:tcPr>
          <w:p w14:paraId="02FD2AA6"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864" w:type="dxa"/>
            <w:tcBorders>
              <w:top w:val="nil"/>
              <w:left w:val="nil"/>
              <w:bottom w:val="nil"/>
              <w:right w:val="nil"/>
            </w:tcBorders>
            <w:vAlign w:val="center"/>
          </w:tcPr>
          <w:p w14:paraId="4559E31E"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30</w:t>
            </w:r>
          </w:p>
        </w:tc>
        <w:tc>
          <w:tcPr>
            <w:tcW w:w="694" w:type="dxa"/>
            <w:tcBorders>
              <w:top w:val="nil"/>
              <w:left w:val="nil"/>
              <w:bottom w:val="nil"/>
              <w:right w:val="nil"/>
            </w:tcBorders>
            <w:vAlign w:val="center"/>
          </w:tcPr>
          <w:p w14:paraId="246AD450"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229</w:t>
            </w:r>
          </w:p>
        </w:tc>
      </w:tr>
      <w:tr w:rsidR="005D7150" w:rsidRPr="005762D5" w14:paraId="71B204A2" w14:textId="77777777" w:rsidTr="00181211">
        <w:trPr>
          <w:trHeight w:val="340"/>
        </w:trPr>
        <w:tc>
          <w:tcPr>
            <w:tcW w:w="1412" w:type="dxa"/>
            <w:tcBorders>
              <w:top w:val="nil"/>
              <w:left w:val="nil"/>
              <w:bottom w:val="single" w:sz="12" w:space="0" w:color="auto"/>
              <w:right w:val="nil"/>
            </w:tcBorders>
            <w:vAlign w:val="center"/>
          </w:tcPr>
          <w:p w14:paraId="424CE4E5" w14:textId="77777777" w:rsidR="005D7150" w:rsidRPr="00ED2047" w:rsidRDefault="005D7150" w:rsidP="00181211">
            <w:pPr>
              <w:spacing w:line="276" w:lineRule="auto"/>
              <w:jc w:val="right"/>
              <w:rPr>
                <w:rFonts w:cs="Arial"/>
                <w:b/>
                <w:bCs/>
                <w:color w:val="000000" w:themeColor="text1"/>
                <w:sz w:val="20"/>
                <w:szCs w:val="20"/>
              </w:rPr>
            </w:pPr>
            <w:r w:rsidRPr="00ED2047">
              <w:rPr>
                <w:rFonts w:cs="Arial"/>
                <w:b/>
                <w:bCs/>
                <w:color w:val="000000" w:themeColor="text1"/>
                <w:sz w:val="20"/>
                <w:szCs w:val="20"/>
              </w:rPr>
              <w:t>Total</w:t>
            </w:r>
          </w:p>
        </w:tc>
        <w:tc>
          <w:tcPr>
            <w:tcW w:w="863" w:type="dxa"/>
            <w:tcBorders>
              <w:top w:val="nil"/>
              <w:left w:val="nil"/>
              <w:bottom w:val="single" w:sz="12" w:space="0" w:color="auto"/>
              <w:right w:val="nil"/>
            </w:tcBorders>
            <w:vAlign w:val="center"/>
          </w:tcPr>
          <w:p w14:paraId="1AF60B19"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120</w:t>
            </w:r>
          </w:p>
        </w:tc>
        <w:tc>
          <w:tcPr>
            <w:tcW w:w="864" w:type="dxa"/>
            <w:tcBorders>
              <w:top w:val="nil"/>
              <w:left w:val="nil"/>
              <w:bottom w:val="single" w:sz="12" w:space="0" w:color="auto"/>
              <w:right w:val="nil"/>
            </w:tcBorders>
            <w:vAlign w:val="center"/>
          </w:tcPr>
          <w:p w14:paraId="6C1472C1"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120</w:t>
            </w:r>
          </w:p>
        </w:tc>
        <w:tc>
          <w:tcPr>
            <w:tcW w:w="863" w:type="dxa"/>
            <w:tcBorders>
              <w:top w:val="nil"/>
              <w:left w:val="nil"/>
              <w:bottom w:val="single" w:sz="12" w:space="0" w:color="auto"/>
              <w:right w:val="nil"/>
            </w:tcBorders>
            <w:vAlign w:val="center"/>
          </w:tcPr>
          <w:p w14:paraId="67834A8D"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112</w:t>
            </w:r>
          </w:p>
        </w:tc>
        <w:tc>
          <w:tcPr>
            <w:tcW w:w="863" w:type="dxa"/>
            <w:tcBorders>
              <w:top w:val="nil"/>
              <w:left w:val="nil"/>
              <w:bottom w:val="single" w:sz="12" w:space="0" w:color="auto"/>
              <w:right w:val="nil"/>
            </w:tcBorders>
            <w:vAlign w:val="center"/>
          </w:tcPr>
          <w:p w14:paraId="32CFE78E"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84</w:t>
            </w:r>
          </w:p>
        </w:tc>
        <w:tc>
          <w:tcPr>
            <w:tcW w:w="866" w:type="dxa"/>
            <w:tcBorders>
              <w:top w:val="nil"/>
              <w:left w:val="nil"/>
              <w:bottom w:val="single" w:sz="12" w:space="0" w:color="auto"/>
              <w:right w:val="nil"/>
            </w:tcBorders>
            <w:vAlign w:val="center"/>
          </w:tcPr>
          <w:p w14:paraId="6CF2EE60"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120</w:t>
            </w:r>
          </w:p>
        </w:tc>
        <w:tc>
          <w:tcPr>
            <w:tcW w:w="863" w:type="dxa"/>
            <w:tcBorders>
              <w:top w:val="nil"/>
              <w:left w:val="nil"/>
              <w:bottom w:val="single" w:sz="12" w:space="0" w:color="auto"/>
              <w:right w:val="nil"/>
            </w:tcBorders>
            <w:vAlign w:val="center"/>
          </w:tcPr>
          <w:p w14:paraId="3EAFD721"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120</w:t>
            </w:r>
          </w:p>
        </w:tc>
        <w:tc>
          <w:tcPr>
            <w:tcW w:w="864" w:type="dxa"/>
            <w:tcBorders>
              <w:top w:val="nil"/>
              <w:left w:val="nil"/>
              <w:bottom w:val="single" w:sz="12" w:space="0" w:color="auto"/>
              <w:right w:val="nil"/>
            </w:tcBorders>
            <w:vAlign w:val="center"/>
          </w:tcPr>
          <w:p w14:paraId="7ADCE95F"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120</w:t>
            </w:r>
          </w:p>
        </w:tc>
        <w:tc>
          <w:tcPr>
            <w:tcW w:w="864" w:type="dxa"/>
            <w:tcBorders>
              <w:top w:val="nil"/>
              <w:left w:val="nil"/>
              <w:bottom w:val="single" w:sz="12" w:space="0" w:color="auto"/>
              <w:right w:val="nil"/>
            </w:tcBorders>
            <w:vAlign w:val="center"/>
          </w:tcPr>
          <w:p w14:paraId="07F1E04B"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117</w:t>
            </w:r>
          </w:p>
        </w:tc>
        <w:tc>
          <w:tcPr>
            <w:tcW w:w="694" w:type="dxa"/>
            <w:tcBorders>
              <w:top w:val="nil"/>
              <w:left w:val="nil"/>
              <w:bottom w:val="single" w:sz="12" w:space="0" w:color="auto"/>
              <w:right w:val="nil"/>
            </w:tcBorders>
            <w:vAlign w:val="center"/>
          </w:tcPr>
          <w:p w14:paraId="65365D9C" w14:textId="77777777" w:rsidR="005D7150" w:rsidRDefault="005D7150" w:rsidP="00181211">
            <w:pPr>
              <w:spacing w:line="276" w:lineRule="auto"/>
              <w:jc w:val="center"/>
              <w:rPr>
                <w:rFonts w:cs="Arial"/>
                <w:color w:val="000000" w:themeColor="text1"/>
                <w:sz w:val="20"/>
                <w:szCs w:val="20"/>
              </w:rPr>
            </w:pPr>
            <w:r>
              <w:rPr>
                <w:rFonts w:cs="Arial"/>
                <w:color w:val="000000" w:themeColor="text1"/>
                <w:sz w:val="20"/>
                <w:szCs w:val="20"/>
              </w:rPr>
              <w:t>913</w:t>
            </w:r>
          </w:p>
        </w:tc>
      </w:tr>
      <w:tr w:rsidR="005D7150" w:rsidRPr="005762D5" w14:paraId="2B0E3A2A" w14:textId="77777777" w:rsidTr="00181211">
        <w:trPr>
          <w:trHeight w:val="340"/>
        </w:trPr>
        <w:tc>
          <w:tcPr>
            <w:tcW w:w="9016" w:type="dxa"/>
            <w:gridSpan w:val="10"/>
            <w:tcBorders>
              <w:top w:val="single" w:sz="12" w:space="0" w:color="auto"/>
              <w:left w:val="nil"/>
              <w:bottom w:val="single" w:sz="12" w:space="0" w:color="auto"/>
              <w:right w:val="nil"/>
            </w:tcBorders>
            <w:vAlign w:val="center"/>
          </w:tcPr>
          <w:p w14:paraId="5568A852" w14:textId="77777777" w:rsidR="005D7150" w:rsidRPr="005B002B" w:rsidRDefault="005D7150" w:rsidP="00181211">
            <w:pPr>
              <w:spacing w:line="276" w:lineRule="auto"/>
              <w:rPr>
                <w:rFonts w:cs="Arial"/>
                <w:color w:val="000000" w:themeColor="text1"/>
                <w:sz w:val="20"/>
                <w:szCs w:val="20"/>
              </w:rPr>
            </w:pPr>
            <w:r>
              <w:rPr>
                <w:rFonts w:cs="Arial"/>
                <w:b/>
                <w:bCs/>
                <w:color w:val="000000" w:themeColor="text1"/>
                <w:sz w:val="20"/>
                <w:szCs w:val="20"/>
              </w:rPr>
              <w:t xml:space="preserve">Note: </w:t>
            </w:r>
            <w:r w:rsidRPr="00025CF4">
              <w:rPr>
                <w:rFonts w:cs="Arial"/>
                <w:color w:val="000000" w:themeColor="text1"/>
                <w:sz w:val="20"/>
                <w:szCs w:val="20"/>
              </w:rPr>
              <w:t>Brazil, NA1 = North America, JP1 = Japan, KR = Republic of Korea, EUW1 = Europe West, RU = Russia, SG2 = Singapore, Malaysia, and Indonesia, VN2 = Vietnam</w:t>
            </w:r>
          </w:p>
        </w:tc>
      </w:tr>
    </w:tbl>
    <w:p w14:paraId="2798873D" w14:textId="77777777" w:rsidR="005D7150" w:rsidRDefault="005D7150" w:rsidP="00371EAC">
      <w:pPr>
        <w:ind w:firstLine="720"/>
        <w:rPr>
          <w:rFonts w:cs="Arial"/>
        </w:rPr>
      </w:pPr>
    </w:p>
    <w:p w14:paraId="5FBD9C44" w14:textId="30D2F1F1" w:rsidR="008A0F4E" w:rsidRPr="009378B1" w:rsidRDefault="00C70336" w:rsidP="00371EAC">
      <w:pPr>
        <w:ind w:firstLine="720"/>
        <w:rPr>
          <w:rFonts w:cs="Arial"/>
        </w:rPr>
      </w:pPr>
      <w:r>
        <w:rPr>
          <w:rFonts w:cs="Arial"/>
        </w:rPr>
        <w:t>The variables of interest for our analysis included</w:t>
      </w:r>
      <w:r w:rsidR="00C65A7A">
        <w:rPr>
          <w:rFonts w:cs="Arial"/>
        </w:rPr>
        <w:t xml:space="preserve"> the date and time of each match, </w:t>
      </w:r>
      <w:r w:rsidR="00B34C15">
        <w:rPr>
          <w:rFonts w:cs="Arial"/>
        </w:rPr>
        <w:t>as well as</w:t>
      </w:r>
      <w:r w:rsidR="00C65A7A">
        <w:rPr>
          <w:rFonts w:cs="Arial"/>
        </w:rPr>
        <w:t xml:space="preserve"> the match duration. From these contextual factors, </w:t>
      </w:r>
      <w:r w:rsidR="0005514C">
        <w:rPr>
          <w:rFonts w:cs="Arial"/>
        </w:rPr>
        <w:t xml:space="preserve">we calculated </w:t>
      </w:r>
      <w:r w:rsidR="00C65A7A">
        <w:rPr>
          <w:rFonts w:cs="Arial"/>
        </w:rPr>
        <w:t>additional</w:t>
      </w:r>
      <w:r w:rsidR="009E19E5">
        <w:rPr>
          <w:rFonts w:cs="Arial"/>
        </w:rPr>
        <w:t>,</w:t>
      </w:r>
      <w:r w:rsidR="00C65A7A">
        <w:rPr>
          <w:rFonts w:cs="Arial"/>
        </w:rPr>
        <w:t xml:space="preserve"> such as the number of games per day, number of days in which at least one game was played, </w:t>
      </w:r>
      <w:r w:rsidR="0005514C">
        <w:rPr>
          <w:rFonts w:cs="Arial"/>
        </w:rPr>
        <w:t xml:space="preserve"> </w:t>
      </w:r>
      <w:r w:rsidR="00C65A7A">
        <w:rPr>
          <w:rFonts w:cs="Arial"/>
        </w:rPr>
        <w:t>number of days played in a row, number of days without play in a row, most games played in one day, most games played in a three-day period</w:t>
      </w:r>
      <w:r w:rsidR="0082240C">
        <w:rPr>
          <w:rFonts w:cs="Arial"/>
        </w:rPr>
        <w:t>, and the ratio of days played vs</w:t>
      </w:r>
      <w:r w:rsidR="008A0F4E">
        <w:rPr>
          <w:rFonts w:cs="Arial"/>
        </w:rPr>
        <w:t>.</w:t>
      </w:r>
      <w:r w:rsidR="0082240C">
        <w:rPr>
          <w:rFonts w:cs="Arial"/>
        </w:rPr>
        <w:t xml:space="preserve"> not</w:t>
      </w:r>
      <w:r w:rsidR="008A0F4E">
        <w:rPr>
          <w:rFonts w:cs="Arial"/>
        </w:rPr>
        <w:t xml:space="preserve"> </w:t>
      </w:r>
      <w:r w:rsidR="0082240C">
        <w:rPr>
          <w:rFonts w:cs="Arial"/>
        </w:rPr>
        <w:t>played.</w:t>
      </w:r>
      <w:r>
        <w:rPr>
          <w:rFonts w:cs="Arial"/>
        </w:rPr>
        <w:t xml:space="preserve"> </w:t>
      </w:r>
    </w:p>
    <w:p w14:paraId="7D2F5EB0" w14:textId="2AE3DF90" w:rsidR="00BC3726" w:rsidRPr="00DA1788" w:rsidRDefault="00BC3726" w:rsidP="00BC3726">
      <w:pPr>
        <w:pStyle w:val="Heading2"/>
      </w:pPr>
      <w:r w:rsidRPr="00DA1788">
        <w:t>Statistical Analysis</w:t>
      </w:r>
    </w:p>
    <w:p w14:paraId="77B8AD5F" w14:textId="126C864E" w:rsidR="00EB3FA0" w:rsidRDefault="008A0F4E" w:rsidP="00371EAC">
      <w:pPr>
        <w:ind w:firstLine="720"/>
        <w:rPr>
          <w:rFonts w:cs="Arial"/>
          <w:color w:val="000000" w:themeColor="text1"/>
        </w:rPr>
      </w:pPr>
      <w:r>
        <w:rPr>
          <w:rFonts w:cs="Arial"/>
          <w:color w:val="000000" w:themeColor="text1"/>
        </w:rPr>
        <w:t>We conducted a</w:t>
      </w:r>
      <w:r w:rsidR="004B7469">
        <w:rPr>
          <w:rFonts w:cs="Arial"/>
          <w:color w:val="000000" w:themeColor="text1"/>
        </w:rPr>
        <w:t>ll data extraction and preliminary processing using R (v4.1.2, R Core Team, Vienna, Austria) in R Studio (v2021.09.2, R Studio Team, Boston, MA). Data for all players were combined into a single file</w:t>
      </w:r>
      <w:r w:rsidR="009E19E5">
        <w:rPr>
          <w:rFonts w:cs="Arial"/>
          <w:color w:val="000000" w:themeColor="text1"/>
        </w:rPr>
        <w:t>,</w:t>
      </w:r>
      <w:r w:rsidR="004B7469">
        <w:rPr>
          <w:rFonts w:cs="Arial"/>
          <w:color w:val="000000" w:themeColor="text1"/>
        </w:rPr>
        <w:t xml:space="preserve"> which </w:t>
      </w:r>
      <w:r>
        <w:rPr>
          <w:rFonts w:cs="Arial"/>
          <w:color w:val="000000" w:themeColor="text1"/>
        </w:rPr>
        <w:t>we</w:t>
      </w:r>
      <w:r w:rsidR="004B7469">
        <w:rPr>
          <w:rFonts w:cs="Arial"/>
          <w:color w:val="000000" w:themeColor="text1"/>
        </w:rPr>
        <w:t xml:space="preserve"> imported into Tableau and Excel to generate summary statistics and data visualisations, while </w:t>
      </w:r>
      <w:r>
        <w:rPr>
          <w:rFonts w:cs="Arial"/>
          <w:color w:val="000000" w:themeColor="text1"/>
        </w:rPr>
        <w:t xml:space="preserve">we used </w:t>
      </w:r>
      <w:r w:rsidR="004B7469">
        <w:rPr>
          <w:rFonts w:cs="Arial"/>
          <w:color w:val="000000" w:themeColor="text1"/>
        </w:rPr>
        <w:t>R for further modelling.</w:t>
      </w:r>
    </w:p>
    <w:p w14:paraId="0D5FC9E8" w14:textId="6F4ED829" w:rsidR="00453CE3" w:rsidRPr="00DA1788" w:rsidRDefault="00453CE3" w:rsidP="00831DEC">
      <w:pPr>
        <w:pStyle w:val="Heading3"/>
        <w:rPr>
          <w:b/>
          <w:bCs/>
        </w:rPr>
      </w:pPr>
      <w:r w:rsidRPr="00DA1788">
        <w:rPr>
          <w:b/>
          <w:bCs/>
        </w:rPr>
        <w:t xml:space="preserve">Exploring differences in practice behaviour between </w:t>
      </w:r>
      <w:r w:rsidR="00151850" w:rsidRPr="00DA1788">
        <w:rPr>
          <w:b/>
          <w:bCs/>
        </w:rPr>
        <w:t>servers and tiers</w:t>
      </w:r>
    </w:p>
    <w:p w14:paraId="4342506C" w14:textId="445FA553" w:rsidR="00453CE3" w:rsidRDefault="000C7EAE" w:rsidP="00371EAC">
      <w:pPr>
        <w:ind w:firstLine="720"/>
        <w:rPr>
          <w:rFonts w:cs="Arial"/>
          <w:color w:val="000000" w:themeColor="text1"/>
        </w:rPr>
      </w:pPr>
      <w:r>
        <w:rPr>
          <w:rFonts w:cs="Arial"/>
          <w:color w:val="000000" w:themeColor="text1"/>
        </w:rPr>
        <w:t>To explore differences</w:t>
      </w:r>
      <w:r w:rsidR="00B04D14">
        <w:rPr>
          <w:rFonts w:cs="Arial"/>
          <w:color w:val="000000" w:themeColor="text1"/>
        </w:rPr>
        <w:t xml:space="preserve"> in practice behaviour</w:t>
      </w:r>
      <w:r>
        <w:rPr>
          <w:rFonts w:cs="Arial"/>
          <w:color w:val="000000" w:themeColor="text1"/>
        </w:rPr>
        <w:t xml:space="preserve"> between groups (</w:t>
      </w:r>
      <w:r w:rsidR="00B04D14">
        <w:rPr>
          <w:rFonts w:cs="Arial"/>
          <w:color w:val="000000" w:themeColor="text1"/>
        </w:rPr>
        <w:t xml:space="preserve">i.e. </w:t>
      </w:r>
      <w:r w:rsidR="00182FB1">
        <w:rPr>
          <w:rFonts w:cs="Arial"/>
          <w:color w:val="000000" w:themeColor="text1"/>
        </w:rPr>
        <w:t>servers</w:t>
      </w:r>
      <w:r w:rsidR="00735C32">
        <w:rPr>
          <w:rFonts w:cs="Arial"/>
          <w:color w:val="000000" w:themeColor="text1"/>
        </w:rPr>
        <w:t xml:space="preserve"> and </w:t>
      </w:r>
      <w:r w:rsidR="00151850">
        <w:rPr>
          <w:rFonts w:cs="Arial"/>
          <w:color w:val="000000" w:themeColor="text1"/>
        </w:rPr>
        <w:t>tiers</w:t>
      </w:r>
      <w:r w:rsidR="00182FB1">
        <w:rPr>
          <w:rFonts w:cs="Arial"/>
          <w:color w:val="000000" w:themeColor="text1"/>
        </w:rPr>
        <w:t xml:space="preserve">, </w:t>
      </w:r>
      <w:r w:rsidR="00B04D14">
        <w:rPr>
          <w:rFonts w:cs="Arial"/>
          <w:color w:val="000000" w:themeColor="text1"/>
        </w:rPr>
        <w:t>including interaction effects</w:t>
      </w:r>
      <w:r>
        <w:rPr>
          <w:rFonts w:cs="Arial"/>
          <w:color w:val="000000" w:themeColor="text1"/>
        </w:rPr>
        <w:t>), we</w:t>
      </w:r>
      <w:r w:rsidR="00B04D14">
        <w:rPr>
          <w:rFonts w:cs="Arial"/>
          <w:color w:val="000000" w:themeColor="text1"/>
        </w:rPr>
        <w:t xml:space="preserve"> used the continuous variable </w:t>
      </w:r>
      <w:r w:rsidR="009378B1">
        <w:rPr>
          <w:rFonts w:cs="Arial"/>
          <w:i/>
          <w:iCs/>
          <w:color w:val="000000" w:themeColor="text1"/>
        </w:rPr>
        <w:t>h</w:t>
      </w:r>
      <w:r w:rsidR="00B04D14">
        <w:rPr>
          <w:rFonts w:cs="Arial"/>
          <w:i/>
          <w:iCs/>
          <w:color w:val="000000" w:themeColor="text1"/>
        </w:rPr>
        <w:t>ours per day</w:t>
      </w:r>
      <w:r w:rsidR="00B04D14">
        <w:rPr>
          <w:rFonts w:cs="Arial"/>
          <w:color w:val="000000" w:themeColor="text1"/>
        </w:rPr>
        <w:t xml:space="preserve"> as the </w:t>
      </w:r>
      <w:r w:rsidR="00B04D14">
        <w:rPr>
          <w:rFonts w:cs="Arial"/>
          <w:color w:val="000000" w:themeColor="text1"/>
        </w:rPr>
        <w:lastRenderedPageBreak/>
        <w:t>dependent variable.</w:t>
      </w:r>
      <w:r w:rsidR="007F1272">
        <w:rPr>
          <w:rFonts w:cs="Arial"/>
          <w:color w:val="000000" w:themeColor="text1"/>
        </w:rPr>
        <w:t xml:space="preserve"> </w:t>
      </w:r>
      <w:r w:rsidR="009378B1">
        <w:rPr>
          <w:rFonts w:cs="Arial"/>
          <w:color w:val="000000" w:themeColor="text1"/>
        </w:rPr>
        <w:t>We identified o</w:t>
      </w:r>
      <w:r w:rsidR="007F1272">
        <w:rPr>
          <w:rFonts w:cs="Arial"/>
          <w:color w:val="000000" w:themeColor="text1"/>
        </w:rPr>
        <w:t xml:space="preserve">utliers using a labelling rule of 1.5 x interquartile range. </w:t>
      </w:r>
      <w:r w:rsidR="009378B1">
        <w:rPr>
          <w:rFonts w:cs="Arial"/>
          <w:color w:val="000000" w:themeColor="text1"/>
        </w:rPr>
        <w:t xml:space="preserve">We labelled </w:t>
      </w:r>
      <w:r w:rsidR="007F1272">
        <w:rPr>
          <w:rFonts w:cs="Arial"/>
          <w:color w:val="000000" w:themeColor="text1"/>
        </w:rPr>
        <w:t>32</w:t>
      </w:r>
      <w:r w:rsidR="009378B1">
        <w:rPr>
          <w:rFonts w:cs="Arial"/>
          <w:color w:val="000000" w:themeColor="text1"/>
        </w:rPr>
        <w:t xml:space="preserve"> </w:t>
      </w:r>
      <w:r w:rsidR="007F1272">
        <w:rPr>
          <w:rFonts w:cs="Arial"/>
          <w:color w:val="000000" w:themeColor="text1"/>
        </w:rPr>
        <w:t xml:space="preserve">observations as outliers, although we retained </w:t>
      </w:r>
      <w:r w:rsidR="009378B1">
        <w:rPr>
          <w:rFonts w:cs="Arial"/>
          <w:color w:val="000000" w:themeColor="text1"/>
        </w:rPr>
        <w:t xml:space="preserve">them </w:t>
      </w:r>
      <w:r w:rsidR="007F1272">
        <w:rPr>
          <w:rFonts w:cs="Arial"/>
          <w:color w:val="000000" w:themeColor="text1"/>
        </w:rPr>
        <w:t>in further analysis as they appear to be realistic values</w:t>
      </w:r>
      <w:r w:rsidR="00594E30">
        <w:rPr>
          <w:rFonts w:cs="Arial"/>
          <w:color w:val="000000" w:themeColor="text1"/>
        </w:rPr>
        <w:t>,</w:t>
      </w:r>
      <w:r w:rsidR="007F1272">
        <w:rPr>
          <w:rFonts w:cs="Arial"/>
          <w:color w:val="000000" w:themeColor="text1"/>
        </w:rPr>
        <w:t xml:space="preserve"> and removal </w:t>
      </w:r>
      <w:r w:rsidR="00C24136">
        <w:rPr>
          <w:rFonts w:cs="Arial"/>
          <w:color w:val="000000" w:themeColor="text1"/>
        </w:rPr>
        <w:t>had little effect on</w:t>
      </w:r>
      <w:r w:rsidR="007F1272">
        <w:rPr>
          <w:rFonts w:cs="Arial"/>
          <w:color w:val="000000" w:themeColor="text1"/>
        </w:rPr>
        <w:t xml:space="preserve"> </w:t>
      </w:r>
      <w:r w:rsidR="00257C1D">
        <w:rPr>
          <w:rFonts w:cs="Arial"/>
          <w:color w:val="000000" w:themeColor="text1"/>
        </w:rPr>
        <w:t>model</w:t>
      </w:r>
      <w:r w:rsidR="00C24136">
        <w:rPr>
          <w:rFonts w:cs="Arial"/>
          <w:color w:val="000000" w:themeColor="text1"/>
        </w:rPr>
        <w:t xml:space="preserve"> outputs</w:t>
      </w:r>
      <w:r w:rsidR="007F1272">
        <w:rPr>
          <w:rFonts w:cs="Arial"/>
          <w:color w:val="000000" w:themeColor="text1"/>
        </w:rPr>
        <w:t>.</w:t>
      </w:r>
      <w:r w:rsidR="00B04D14">
        <w:rPr>
          <w:rFonts w:cs="Arial"/>
          <w:color w:val="000000" w:themeColor="text1"/>
        </w:rPr>
        <w:t xml:space="preserve"> </w:t>
      </w:r>
      <w:r w:rsidR="009378B1">
        <w:rPr>
          <w:rFonts w:cs="Arial"/>
          <w:color w:val="000000" w:themeColor="text1"/>
        </w:rPr>
        <w:t>We plotted t</w:t>
      </w:r>
      <w:r w:rsidR="007F1272">
        <w:rPr>
          <w:rFonts w:cs="Arial"/>
          <w:color w:val="000000" w:themeColor="text1"/>
        </w:rPr>
        <w:t xml:space="preserve">he </w:t>
      </w:r>
      <w:r w:rsidR="007F1272" w:rsidRPr="009378B1">
        <w:rPr>
          <w:rFonts w:cs="Arial"/>
          <w:i/>
          <w:iCs/>
          <w:color w:val="000000" w:themeColor="text1"/>
        </w:rPr>
        <w:t>hours per day</w:t>
      </w:r>
      <w:r w:rsidR="00B04D14">
        <w:rPr>
          <w:rFonts w:cs="Arial"/>
          <w:color w:val="000000" w:themeColor="text1"/>
        </w:rPr>
        <w:t xml:space="preserve"> variable for each level of grouping and</w:t>
      </w:r>
      <w:r w:rsidR="00182FB1">
        <w:rPr>
          <w:rFonts w:cs="Arial"/>
          <w:color w:val="000000" w:themeColor="text1"/>
        </w:rPr>
        <w:t xml:space="preserve"> inspected the</w:t>
      </w:r>
      <w:r w:rsidR="00B04D14">
        <w:rPr>
          <w:rFonts w:cs="Arial"/>
          <w:color w:val="000000" w:themeColor="text1"/>
        </w:rPr>
        <w:t xml:space="preserve"> QQ plots. </w:t>
      </w:r>
      <w:r w:rsidR="00594E30">
        <w:rPr>
          <w:rFonts w:cs="Arial"/>
          <w:color w:val="000000" w:themeColor="text1"/>
        </w:rPr>
        <w:t>Some groups had a non-normal distribution</w:t>
      </w:r>
      <w:r w:rsidR="00CC6174">
        <w:rPr>
          <w:rFonts w:cs="Arial"/>
          <w:color w:val="000000" w:themeColor="text1"/>
        </w:rPr>
        <w:t>,</w:t>
      </w:r>
      <w:r w:rsidR="00355286">
        <w:rPr>
          <w:rFonts w:cs="Arial"/>
          <w:color w:val="000000" w:themeColor="text1"/>
        </w:rPr>
        <w:t xml:space="preserve"> and the residuals of fitted models displayed </w:t>
      </w:r>
      <w:r w:rsidR="00254A43">
        <w:rPr>
          <w:rFonts w:cs="Arial"/>
          <w:color w:val="000000" w:themeColor="text1"/>
        </w:rPr>
        <w:t>deviation from homoscedasticity</w:t>
      </w:r>
      <w:r w:rsidR="00270B3C">
        <w:rPr>
          <w:rFonts w:cs="Arial"/>
          <w:color w:val="000000" w:themeColor="text1"/>
        </w:rPr>
        <w:t>,</w:t>
      </w:r>
      <w:r w:rsidR="00B04D14">
        <w:rPr>
          <w:rFonts w:cs="Arial"/>
          <w:color w:val="000000" w:themeColor="text1"/>
        </w:rPr>
        <w:t xml:space="preserve"> so</w:t>
      </w:r>
      <w:r w:rsidR="00270B3C">
        <w:rPr>
          <w:rFonts w:cs="Arial"/>
          <w:color w:val="000000" w:themeColor="text1"/>
        </w:rPr>
        <w:t xml:space="preserve"> </w:t>
      </w:r>
      <w:r w:rsidR="00182FB1">
        <w:rPr>
          <w:rFonts w:cs="Arial"/>
          <w:color w:val="000000" w:themeColor="text1"/>
        </w:rPr>
        <w:t xml:space="preserve">we tested </w:t>
      </w:r>
      <w:r w:rsidR="00270B3C">
        <w:rPr>
          <w:rFonts w:cs="Arial"/>
          <w:color w:val="000000" w:themeColor="text1"/>
        </w:rPr>
        <w:t>rank and log transformations in two-way ANOVA models</w:t>
      </w:r>
      <w:r w:rsidR="00257C1D">
        <w:rPr>
          <w:rFonts w:cs="Arial"/>
          <w:color w:val="000000" w:themeColor="text1"/>
        </w:rPr>
        <w:t xml:space="preserve"> via the stats package in R (v3.6.2, R Core Team)</w:t>
      </w:r>
      <w:r w:rsidR="00270B3C">
        <w:rPr>
          <w:rFonts w:cs="Arial"/>
          <w:color w:val="000000" w:themeColor="text1"/>
        </w:rPr>
        <w:t xml:space="preserve">. Log transformation produced the best distribution of residuals as viewed in </w:t>
      </w:r>
      <w:r w:rsidR="00CC6174">
        <w:rPr>
          <w:rFonts w:cs="Arial"/>
          <w:color w:val="000000" w:themeColor="text1"/>
        </w:rPr>
        <w:t xml:space="preserve">the </w:t>
      </w:r>
      <w:r w:rsidR="00270B3C">
        <w:rPr>
          <w:rFonts w:cs="Arial"/>
          <w:color w:val="000000" w:themeColor="text1"/>
        </w:rPr>
        <w:t xml:space="preserve">residual distribution plot, QQ plot and a Shapiro-Wilk test of residuals, so </w:t>
      </w:r>
      <w:r w:rsidR="0061390D">
        <w:rPr>
          <w:rFonts w:cs="Arial"/>
          <w:color w:val="000000" w:themeColor="text1"/>
        </w:rPr>
        <w:t xml:space="preserve">we retained </w:t>
      </w:r>
      <w:r w:rsidR="00270B3C">
        <w:rPr>
          <w:rFonts w:cs="Arial"/>
          <w:color w:val="000000" w:themeColor="text1"/>
        </w:rPr>
        <w:t>this</w:t>
      </w:r>
      <w:r w:rsidR="00A266C5">
        <w:rPr>
          <w:rFonts w:cs="Arial"/>
          <w:color w:val="000000" w:themeColor="text1"/>
        </w:rPr>
        <w:t xml:space="preserve"> </w:t>
      </w:r>
      <w:r w:rsidR="00270B3C">
        <w:rPr>
          <w:rFonts w:cs="Arial"/>
          <w:color w:val="000000" w:themeColor="text1"/>
        </w:rPr>
        <w:t>as the final model for this exploratory analysis.</w:t>
      </w:r>
      <w:r w:rsidR="00972957">
        <w:rPr>
          <w:rFonts w:cs="Arial"/>
          <w:color w:val="000000" w:themeColor="text1"/>
        </w:rPr>
        <w:t xml:space="preserve"> Following this, </w:t>
      </w:r>
      <w:bookmarkStart w:id="0" w:name="_Hlk179787835"/>
      <w:r w:rsidR="0042367A">
        <w:rPr>
          <w:rFonts w:cs="Arial"/>
          <w:color w:val="000000" w:themeColor="text1"/>
        </w:rPr>
        <w:t xml:space="preserve">pairwise </w:t>
      </w:r>
      <w:r w:rsidR="009E119A">
        <w:rPr>
          <w:rFonts w:cs="Arial"/>
          <w:color w:val="000000" w:themeColor="text1"/>
        </w:rPr>
        <w:t>Wilcox</w:t>
      </w:r>
      <w:r w:rsidR="0042367A">
        <w:rPr>
          <w:rFonts w:cs="Arial"/>
          <w:color w:val="000000" w:themeColor="text1"/>
        </w:rPr>
        <w:t>on</w:t>
      </w:r>
      <w:r w:rsidR="009E119A">
        <w:rPr>
          <w:rFonts w:cs="Arial"/>
          <w:color w:val="000000" w:themeColor="text1"/>
        </w:rPr>
        <w:t xml:space="preserve"> </w:t>
      </w:r>
      <w:r w:rsidR="00972957">
        <w:rPr>
          <w:rFonts w:cs="Arial"/>
          <w:color w:val="000000" w:themeColor="text1"/>
        </w:rPr>
        <w:t xml:space="preserve">tests were used to compare </w:t>
      </w:r>
      <w:r w:rsidR="009E119A">
        <w:rPr>
          <w:rFonts w:cs="Arial"/>
          <w:color w:val="000000" w:themeColor="text1"/>
        </w:rPr>
        <w:t xml:space="preserve">individual </w:t>
      </w:r>
      <w:r w:rsidR="0061390D">
        <w:rPr>
          <w:rFonts w:cs="Arial"/>
          <w:color w:val="000000" w:themeColor="text1"/>
        </w:rPr>
        <w:t>tiers</w:t>
      </w:r>
      <w:r w:rsidR="00972957">
        <w:rPr>
          <w:rFonts w:cs="Arial"/>
          <w:color w:val="000000" w:themeColor="text1"/>
        </w:rPr>
        <w:t xml:space="preserve"> and </w:t>
      </w:r>
      <w:r w:rsidR="0061390D">
        <w:rPr>
          <w:rFonts w:cs="Arial"/>
          <w:color w:val="000000" w:themeColor="text1"/>
        </w:rPr>
        <w:t>servers</w:t>
      </w:r>
      <w:bookmarkEnd w:id="0"/>
      <w:r w:rsidR="00972957">
        <w:rPr>
          <w:rFonts w:cs="Arial"/>
          <w:color w:val="000000" w:themeColor="text1"/>
        </w:rPr>
        <w:t>.</w:t>
      </w:r>
      <w:r w:rsidR="007F1272">
        <w:rPr>
          <w:rFonts w:cs="Arial"/>
          <w:color w:val="000000" w:themeColor="text1"/>
        </w:rPr>
        <w:t xml:space="preserve"> An alpha level of 0.05 was </w:t>
      </w:r>
      <w:r w:rsidR="0061390D">
        <w:rPr>
          <w:rFonts w:cs="Arial"/>
          <w:color w:val="000000" w:themeColor="text1"/>
        </w:rPr>
        <w:t>set</w:t>
      </w:r>
      <w:r w:rsidR="007F1272">
        <w:rPr>
          <w:rFonts w:cs="Arial"/>
          <w:color w:val="000000" w:themeColor="text1"/>
        </w:rPr>
        <w:t xml:space="preserve"> to identify potential differences between groups</w:t>
      </w:r>
      <w:r w:rsidR="00BA69F6">
        <w:rPr>
          <w:rFonts w:cs="Arial"/>
          <w:color w:val="000000" w:themeColor="text1"/>
        </w:rPr>
        <w:t>, and we applied a Bonferroni correction to</w:t>
      </w:r>
      <w:r w:rsidR="007F1272">
        <w:rPr>
          <w:rFonts w:cs="Arial"/>
          <w:color w:val="000000" w:themeColor="text1"/>
        </w:rPr>
        <w:t xml:space="preserve"> multiple comparisons.</w:t>
      </w:r>
      <w:r w:rsidR="00972957">
        <w:rPr>
          <w:rFonts w:cs="Arial"/>
          <w:color w:val="000000" w:themeColor="text1"/>
        </w:rPr>
        <w:t xml:space="preserve"> </w:t>
      </w:r>
    </w:p>
    <w:p w14:paraId="35161685" w14:textId="19F20734" w:rsidR="000C7EAE" w:rsidRPr="00DA1788" w:rsidRDefault="00453CE3" w:rsidP="00831DEC">
      <w:pPr>
        <w:pStyle w:val="Heading3"/>
        <w:rPr>
          <w:b/>
          <w:bCs/>
        </w:rPr>
      </w:pPr>
      <w:r w:rsidRPr="00DA1788">
        <w:rPr>
          <w:b/>
          <w:bCs/>
        </w:rPr>
        <w:t>Identifying different types of practice behaviours</w:t>
      </w:r>
      <w:r w:rsidR="000C7EAE" w:rsidRPr="00DA1788">
        <w:rPr>
          <w:b/>
          <w:bCs/>
        </w:rPr>
        <w:t xml:space="preserve"> </w:t>
      </w:r>
    </w:p>
    <w:p w14:paraId="0AD544A4" w14:textId="1D0BF6BF" w:rsidR="00E32DF7" w:rsidRDefault="00E70230" w:rsidP="00371EAC">
      <w:pPr>
        <w:ind w:firstLine="720"/>
        <w:rPr>
          <w:rFonts w:cs="Arial"/>
          <w:color w:val="000000" w:themeColor="text1"/>
        </w:rPr>
      </w:pPr>
      <w:r>
        <w:rPr>
          <w:rFonts w:cs="Arial"/>
          <w:color w:val="000000" w:themeColor="text1"/>
        </w:rPr>
        <w:t xml:space="preserve">To identify different practice behaviours, </w:t>
      </w:r>
      <w:r w:rsidR="0061390D">
        <w:rPr>
          <w:rFonts w:cs="Arial"/>
          <w:color w:val="000000" w:themeColor="text1"/>
        </w:rPr>
        <w:t xml:space="preserve">we conducted </w:t>
      </w:r>
      <w:r>
        <w:rPr>
          <w:rFonts w:cs="Arial"/>
          <w:color w:val="000000" w:themeColor="text1"/>
        </w:rPr>
        <w:t xml:space="preserve">a hierarchical cluster analysis </w:t>
      </w:r>
      <w:r w:rsidR="00CF2D10">
        <w:rPr>
          <w:rFonts w:cs="Arial"/>
          <w:color w:val="000000" w:themeColor="text1"/>
        </w:rPr>
        <w:t>on four metrics</w:t>
      </w:r>
      <w:r w:rsidR="0061390D">
        <w:rPr>
          <w:rFonts w:cs="Arial"/>
          <w:color w:val="000000" w:themeColor="text1"/>
        </w:rPr>
        <w:t>,</w:t>
      </w:r>
      <w:r w:rsidR="00CF2D10">
        <w:rPr>
          <w:rFonts w:cs="Arial"/>
          <w:color w:val="000000" w:themeColor="text1"/>
        </w:rPr>
        <w:t xml:space="preserve"> which we found to be not multicollinear (r</w:t>
      </w:r>
      <w:r w:rsidR="00071DBB">
        <w:rPr>
          <w:rFonts w:cs="Arial"/>
          <w:color w:val="000000" w:themeColor="text1"/>
        </w:rPr>
        <w:t xml:space="preserve"> </w:t>
      </w:r>
      <w:r w:rsidR="00CF2D10">
        <w:rPr>
          <w:rFonts w:cs="Arial"/>
          <w:color w:val="000000" w:themeColor="text1"/>
        </w:rPr>
        <w:t>&lt;</w:t>
      </w:r>
      <w:r w:rsidR="00071DBB">
        <w:rPr>
          <w:rFonts w:cs="Arial"/>
          <w:color w:val="000000" w:themeColor="text1"/>
        </w:rPr>
        <w:t xml:space="preserve"> </w:t>
      </w:r>
      <w:r w:rsidR="00CF2D10">
        <w:rPr>
          <w:rFonts w:cs="Arial"/>
          <w:color w:val="000000" w:themeColor="text1"/>
        </w:rPr>
        <w:t>0.80)</w:t>
      </w:r>
      <w:r w:rsidR="00735C32">
        <w:rPr>
          <w:rFonts w:cs="Arial"/>
          <w:color w:val="000000" w:themeColor="text1"/>
        </w:rPr>
        <w:t xml:space="preserve">, </w:t>
      </w:r>
      <w:r w:rsidR="00CF2D10">
        <w:rPr>
          <w:rFonts w:cs="Arial"/>
          <w:color w:val="000000" w:themeColor="text1"/>
        </w:rPr>
        <w:t xml:space="preserve">including </w:t>
      </w:r>
      <w:r w:rsidR="00A61146">
        <w:rPr>
          <w:rFonts w:cs="Arial"/>
          <w:color w:val="000000" w:themeColor="text1"/>
        </w:rPr>
        <w:t xml:space="preserve">1) </w:t>
      </w:r>
      <w:r w:rsidR="00CF2D10" w:rsidRPr="0061390D">
        <w:rPr>
          <w:rFonts w:cs="Arial"/>
          <w:i/>
          <w:iCs/>
          <w:color w:val="000000" w:themeColor="text1"/>
        </w:rPr>
        <w:t>the ratio of days with practice to days without practice</w:t>
      </w:r>
      <w:r w:rsidR="00A61146">
        <w:rPr>
          <w:rFonts w:cs="Arial"/>
          <w:i/>
          <w:iCs/>
          <w:color w:val="000000" w:themeColor="text1"/>
        </w:rPr>
        <w:t>; 2)</w:t>
      </w:r>
      <w:r w:rsidR="00CF2D10" w:rsidRPr="0061390D">
        <w:rPr>
          <w:rFonts w:cs="Arial"/>
          <w:i/>
          <w:iCs/>
          <w:color w:val="000000" w:themeColor="text1"/>
        </w:rPr>
        <w:t xml:space="preserve"> the most number of games played in a one-day period</w:t>
      </w:r>
      <w:r w:rsidR="00A61146">
        <w:rPr>
          <w:rFonts w:cs="Arial"/>
          <w:i/>
          <w:iCs/>
          <w:color w:val="000000" w:themeColor="text1"/>
        </w:rPr>
        <w:t>; 3)</w:t>
      </w:r>
      <w:r w:rsidR="00CF2D10" w:rsidRPr="0061390D">
        <w:rPr>
          <w:rFonts w:cs="Arial"/>
          <w:i/>
          <w:iCs/>
          <w:color w:val="000000" w:themeColor="text1"/>
        </w:rPr>
        <w:t xml:space="preserve"> the most number of games played across a three-day period</w:t>
      </w:r>
      <w:r w:rsidR="00A61146">
        <w:rPr>
          <w:rFonts w:cs="Arial"/>
          <w:i/>
          <w:iCs/>
          <w:color w:val="000000" w:themeColor="text1"/>
        </w:rPr>
        <w:t>;</w:t>
      </w:r>
      <w:r w:rsidR="00CF2D10" w:rsidRPr="0061390D">
        <w:rPr>
          <w:rFonts w:cs="Arial"/>
          <w:i/>
          <w:iCs/>
          <w:color w:val="000000" w:themeColor="text1"/>
        </w:rPr>
        <w:t xml:space="preserve"> and</w:t>
      </w:r>
      <w:r w:rsidR="00A61146">
        <w:rPr>
          <w:rFonts w:cs="Arial"/>
          <w:i/>
          <w:iCs/>
          <w:color w:val="000000" w:themeColor="text1"/>
        </w:rPr>
        <w:t xml:space="preserve"> 4)</w:t>
      </w:r>
      <w:r w:rsidR="00CF2D10" w:rsidRPr="0061390D">
        <w:rPr>
          <w:rFonts w:cs="Arial"/>
          <w:i/>
          <w:iCs/>
          <w:color w:val="000000" w:themeColor="text1"/>
        </w:rPr>
        <w:t xml:space="preserve"> the most days without practice in a row</w:t>
      </w:r>
      <w:r w:rsidR="00CF2D10">
        <w:rPr>
          <w:rFonts w:cs="Arial"/>
          <w:color w:val="000000" w:themeColor="text1"/>
        </w:rPr>
        <w:t xml:space="preserve">. </w:t>
      </w:r>
      <w:r w:rsidR="0061390D">
        <w:rPr>
          <w:rFonts w:cs="Arial"/>
          <w:color w:val="000000" w:themeColor="text1"/>
        </w:rPr>
        <w:t>We scaled a</w:t>
      </w:r>
      <w:r w:rsidR="00CF2D10">
        <w:rPr>
          <w:rFonts w:cs="Arial"/>
          <w:color w:val="000000" w:themeColor="text1"/>
        </w:rPr>
        <w:t>ll variables to a range between 0</w:t>
      </w:r>
      <w:r w:rsidR="00151850">
        <w:rPr>
          <w:rFonts w:cs="Arial"/>
          <w:color w:val="000000" w:themeColor="text1"/>
        </w:rPr>
        <w:t xml:space="preserve"> </w:t>
      </w:r>
      <w:r w:rsidR="00BA69F6">
        <w:rPr>
          <w:rFonts w:cs="Arial"/>
          <w:color w:val="000000" w:themeColor="text1"/>
        </w:rPr>
        <w:t>and 1 before</w:t>
      </w:r>
      <w:r w:rsidR="00CF2D10">
        <w:rPr>
          <w:rFonts w:cs="Arial"/>
          <w:color w:val="000000" w:themeColor="text1"/>
        </w:rPr>
        <w:t xml:space="preserve"> clustering. </w:t>
      </w:r>
      <w:r w:rsidR="0061390D">
        <w:rPr>
          <w:rFonts w:cs="Arial"/>
          <w:color w:val="000000" w:themeColor="text1"/>
        </w:rPr>
        <w:t>We conducted t</w:t>
      </w:r>
      <w:r w:rsidR="00CF2D10">
        <w:rPr>
          <w:rFonts w:cs="Arial"/>
          <w:color w:val="000000" w:themeColor="text1"/>
        </w:rPr>
        <w:t xml:space="preserve">he analysis </w:t>
      </w:r>
      <w:r>
        <w:rPr>
          <w:rFonts w:cs="Arial"/>
          <w:color w:val="000000" w:themeColor="text1"/>
        </w:rPr>
        <w:t>via the stats package in R (</w:t>
      </w:r>
      <w:r w:rsidR="00257C1D">
        <w:rPr>
          <w:rFonts w:cs="Arial"/>
          <w:color w:val="000000" w:themeColor="text1"/>
        </w:rPr>
        <w:t>v3.6.2, R Core Team)</w:t>
      </w:r>
      <w:r>
        <w:rPr>
          <w:rFonts w:cs="Arial"/>
          <w:color w:val="000000" w:themeColor="text1"/>
        </w:rPr>
        <w:t xml:space="preserve"> using </w:t>
      </w:r>
      <w:r w:rsidR="00257C1D">
        <w:rPr>
          <w:rFonts w:cs="Arial"/>
          <w:color w:val="000000" w:themeColor="text1"/>
        </w:rPr>
        <w:t xml:space="preserve">the Euclidean distance and </w:t>
      </w:r>
      <w:r>
        <w:rPr>
          <w:rFonts w:cs="Arial"/>
          <w:color w:val="000000" w:themeColor="text1"/>
        </w:rPr>
        <w:t>Ward</w:t>
      </w:r>
      <w:r w:rsidR="00DA1788">
        <w:rPr>
          <w:rFonts w:cs="Arial"/>
          <w:color w:val="000000" w:themeColor="text1"/>
        </w:rPr>
        <w:t>'</w:t>
      </w:r>
      <w:r>
        <w:rPr>
          <w:rFonts w:cs="Arial"/>
          <w:color w:val="000000" w:themeColor="text1"/>
        </w:rPr>
        <w:t>s minimum distance to minimise increases in the within-cluster variance.</w:t>
      </w:r>
      <w:r w:rsidR="00CF2D10">
        <w:rPr>
          <w:rFonts w:cs="Arial"/>
          <w:color w:val="000000" w:themeColor="text1"/>
        </w:rPr>
        <w:t xml:space="preserve"> </w:t>
      </w:r>
      <w:r w:rsidR="0061390D">
        <w:rPr>
          <w:rFonts w:cs="Arial"/>
          <w:color w:val="000000" w:themeColor="text1"/>
        </w:rPr>
        <w:t>We used v</w:t>
      </w:r>
      <w:r w:rsidR="00CF2D10">
        <w:rPr>
          <w:rFonts w:cs="Arial"/>
          <w:color w:val="000000" w:themeColor="text1"/>
        </w:rPr>
        <w:t>isual inspection of the clustering tree and the distribution of variables within each group</w:t>
      </w:r>
      <w:r w:rsidR="0061390D">
        <w:rPr>
          <w:rFonts w:cs="Arial"/>
          <w:color w:val="000000" w:themeColor="text1"/>
        </w:rPr>
        <w:t xml:space="preserve"> to identify </w:t>
      </w:r>
      <w:r w:rsidR="00CF2D10">
        <w:rPr>
          <w:rFonts w:cs="Arial"/>
          <w:color w:val="000000" w:themeColor="text1"/>
        </w:rPr>
        <w:t xml:space="preserve">practice behaviour types </w:t>
      </w:r>
      <w:r w:rsidR="00735C32">
        <w:rPr>
          <w:rFonts w:cs="Arial"/>
          <w:color w:val="000000" w:themeColor="text1"/>
        </w:rPr>
        <w:t>that</w:t>
      </w:r>
      <w:r w:rsidR="00CF2D10">
        <w:rPr>
          <w:rFonts w:cs="Arial"/>
          <w:color w:val="000000" w:themeColor="text1"/>
        </w:rPr>
        <w:t xml:space="preserve"> could be </w:t>
      </w:r>
      <w:r w:rsidR="001D2977">
        <w:rPr>
          <w:rFonts w:cs="Arial"/>
          <w:color w:val="000000" w:themeColor="text1"/>
        </w:rPr>
        <w:t>easily</w:t>
      </w:r>
      <w:r w:rsidR="00CF2D10">
        <w:rPr>
          <w:rFonts w:cs="Arial"/>
          <w:color w:val="000000" w:themeColor="text1"/>
        </w:rPr>
        <w:t xml:space="preserve"> </w:t>
      </w:r>
      <w:r w:rsidR="001D2977">
        <w:rPr>
          <w:rFonts w:cs="Arial"/>
          <w:color w:val="000000" w:themeColor="text1"/>
        </w:rPr>
        <w:t>interpreted</w:t>
      </w:r>
      <w:r w:rsidR="00CF2D10">
        <w:rPr>
          <w:rFonts w:cs="Arial"/>
          <w:color w:val="000000" w:themeColor="text1"/>
        </w:rPr>
        <w:t>.</w:t>
      </w:r>
    </w:p>
    <w:p w14:paraId="4BD48022" w14:textId="31568D5F" w:rsidR="00EC6B28" w:rsidRPr="00BA1C98" w:rsidRDefault="00EC6B28" w:rsidP="00DA1788">
      <w:pPr>
        <w:pStyle w:val="Heading1"/>
        <w:rPr>
          <w:rFonts w:cs="Arial"/>
          <w:color w:val="000000" w:themeColor="text1"/>
        </w:rPr>
      </w:pPr>
      <w:r>
        <w:rPr>
          <w:rFonts w:cs="Arial"/>
          <w:color w:val="000000" w:themeColor="text1"/>
        </w:rPr>
        <w:lastRenderedPageBreak/>
        <w:t>Results</w:t>
      </w:r>
    </w:p>
    <w:p w14:paraId="463C4580" w14:textId="20BF4D41" w:rsidR="00B72BB9" w:rsidRPr="00DA1788" w:rsidRDefault="00EC6B28" w:rsidP="00B72BB9">
      <w:pPr>
        <w:pStyle w:val="Heading2"/>
      </w:pPr>
      <w:r w:rsidRPr="00DA1788">
        <w:t>Descriptive data</w:t>
      </w:r>
    </w:p>
    <w:p w14:paraId="467C79EA" w14:textId="1E92BC1C" w:rsidR="00B72BB9" w:rsidRPr="00DA1788" w:rsidRDefault="00B72BB9" w:rsidP="00831DEC">
      <w:pPr>
        <w:pStyle w:val="Heading3"/>
        <w:rPr>
          <w:b/>
          <w:bCs/>
        </w:rPr>
      </w:pPr>
      <w:r w:rsidRPr="00DA1788">
        <w:rPr>
          <w:b/>
          <w:bCs/>
        </w:rPr>
        <w:t xml:space="preserve">Number </w:t>
      </w:r>
      <w:r w:rsidR="005628A2" w:rsidRPr="00DA1788">
        <w:rPr>
          <w:b/>
          <w:bCs/>
        </w:rPr>
        <w:t>and duration of matches per day</w:t>
      </w:r>
    </w:p>
    <w:p w14:paraId="30A13C2A" w14:textId="2FA8F4ED" w:rsidR="004611E9" w:rsidRDefault="008C1C94" w:rsidP="00B72BB9">
      <w:pPr>
        <w:ind w:firstLine="720"/>
      </w:pPr>
      <w:r w:rsidRPr="00FC1079">
        <w:t>Challenger players</w:t>
      </w:r>
      <w:r w:rsidR="008F2429" w:rsidRPr="00FC1079">
        <w:t xml:space="preserve"> (highest </w:t>
      </w:r>
      <w:r w:rsidR="00640637" w:rsidRPr="00FC1079">
        <w:t>tier</w:t>
      </w:r>
      <w:r w:rsidR="008F2429" w:rsidRPr="00FC1079">
        <w:t>)</w:t>
      </w:r>
      <w:r w:rsidRPr="00FC1079">
        <w:t xml:space="preserve"> across </w:t>
      </w:r>
      <w:r w:rsidR="00AD0F7B" w:rsidRPr="00FC1079">
        <w:t xml:space="preserve">all </w:t>
      </w:r>
      <w:r w:rsidR="00B72BB9" w:rsidRPr="00FC1079">
        <w:t>servers</w:t>
      </w:r>
      <w:r w:rsidR="00AD0F7B" w:rsidRPr="00FC1079">
        <w:t xml:space="preserve"> (except Europe West) tended to have </w:t>
      </w:r>
      <w:r w:rsidR="00005BFE" w:rsidRPr="00FC1079">
        <w:t>the greatest</w:t>
      </w:r>
      <w:r w:rsidR="00AD0F7B" w:rsidRPr="00FC1079">
        <w:t xml:space="preserve"> number of ranked </w:t>
      </w:r>
      <w:r w:rsidR="008F2429" w:rsidRPr="00FC1079">
        <w:t>solo</w:t>
      </w:r>
      <w:r w:rsidR="007956C4">
        <w:t>/due</w:t>
      </w:r>
      <w:r w:rsidR="008F2429" w:rsidRPr="00FC1079">
        <w:t xml:space="preserve"> queue</w:t>
      </w:r>
      <w:r w:rsidR="00AD0F7B" w:rsidRPr="00FC1079">
        <w:t xml:space="preserve"> </w:t>
      </w:r>
      <w:r w:rsidR="007956C4">
        <w:t>matches</w:t>
      </w:r>
      <w:r w:rsidR="00AD0F7B" w:rsidRPr="00FC1079">
        <w:t xml:space="preserve"> per day</w:t>
      </w:r>
      <w:r w:rsidR="00005BFE" w:rsidRPr="00FC1079">
        <w:t>, where</w:t>
      </w:r>
      <w:r w:rsidR="008F2429" w:rsidRPr="00FC1079">
        <w:t>as Emerald</w:t>
      </w:r>
      <w:r w:rsidR="00512A73" w:rsidRPr="00FC1079">
        <w:t xml:space="preserve"> I</w:t>
      </w:r>
      <w:r w:rsidR="008F2429" w:rsidRPr="00FC1079">
        <w:t xml:space="preserve"> players (lowest </w:t>
      </w:r>
      <w:r w:rsidR="00640637" w:rsidRPr="00FC1079">
        <w:t>tier</w:t>
      </w:r>
      <w:r w:rsidR="008F2429" w:rsidRPr="00FC1079">
        <w:t xml:space="preserve">) had the </w:t>
      </w:r>
      <w:r w:rsidR="00C910F9" w:rsidRPr="00FC1079">
        <w:t>least</w:t>
      </w:r>
      <w:r w:rsidR="008F2429" w:rsidRPr="00FC1079">
        <w:t xml:space="preserve"> </w:t>
      </w:r>
      <w:r w:rsidR="00C910F9" w:rsidRPr="00FC1079">
        <w:t xml:space="preserve">(excluding Japan and Vietnam). </w:t>
      </w:r>
      <w:r w:rsidR="003E250D" w:rsidRPr="00FC1079">
        <w:t xml:space="preserve">The average number of </w:t>
      </w:r>
      <w:r w:rsidR="0041734D" w:rsidRPr="00FC1079">
        <w:t xml:space="preserve">matches </w:t>
      </w:r>
      <w:r w:rsidR="00B72BB9" w:rsidRPr="00FC1079">
        <w:t xml:space="preserve">per tier </w:t>
      </w:r>
      <w:r w:rsidR="0041734D" w:rsidRPr="00FC1079">
        <w:t xml:space="preserve">when pooling these data </w:t>
      </w:r>
      <w:r w:rsidR="00C61D79" w:rsidRPr="00FC1079">
        <w:t xml:space="preserve">was 4.7 ± </w:t>
      </w:r>
      <w:r w:rsidR="00355F3B" w:rsidRPr="00FC1079">
        <w:t>2.1</w:t>
      </w:r>
      <w:r w:rsidR="00E86C83" w:rsidRPr="00FC1079">
        <w:t>, 4.3 ±</w:t>
      </w:r>
      <w:r w:rsidR="00C54807" w:rsidRPr="00FC1079">
        <w:t xml:space="preserve"> 2.4</w:t>
      </w:r>
      <w:r w:rsidR="00E86C83" w:rsidRPr="00FC1079">
        <w:t xml:space="preserve">, 3.4 ± </w:t>
      </w:r>
      <w:r w:rsidR="00C54807" w:rsidRPr="00FC1079">
        <w:t>2.2</w:t>
      </w:r>
      <w:r w:rsidR="00E86C83" w:rsidRPr="00FC1079">
        <w:t xml:space="preserve">, and </w:t>
      </w:r>
      <w:r w:rsidR="00293411" w:rsidRPr="00FC1079">
        <w:t xml:space="preserve">3.1 ± </w:t>
      </w:r>
      <w:r w:rsidR="00C54807" w:rsidRPr="00FC1079">
        <w:t>1.84</w:t>
      </w:r>
      <w:r w:rsidR="002F794D" w:rsidRPr="00FC1079">
        <w:t xml:space="preserve"> for Challenger, Grandmaster, Master, and Emerald tiers, respectively. </w:t>
      </w:r>
      <w:r w:rsidR="007C6A08" w:rsidRPr="00FC1079">
        <w:t xml:space="preserve">The </w:t>
      </w:r>
      <w:r w:rsidR="00640637" w:rsidRPr="00FC1079">
        <w:t xml:space="preserve">relatively </w:t>
      </w:r>
      <w:r w:rsidR="007C6A08" w:rsidRPr="00FC1079">
        <w:t>large</w:t>
      </w:r>
      <w:r w:rsidR="00B72BB9" w:rsidRPr="00FC1079">
        <w:t xml:space="preserve"> servers had an average of 0.6 more matches per day than the </w:t>
      </w:r>
      <w:r w:rsidR="00640637" w:rsidRPr="00FC1079">
        <w:t xml:space="preserve">relatively </w:t>
      </w:r>
      <w:r w:rsidR="00B72BB9" w:rsidRPr="00FC1079">
        <w:t xml:space="preserve">small </w:t>
      </w:r>
      <w:r w:rsidR="00640637" w:rsidRPr="00FC1079">
        <w:t>ones</w:t>
      </w:r>
      <w:r w:rsidR="00B72BB9" w:rsidRPr="00FC1079">
        <w:t xml:space="preserve"> (4.</w:t>
      </w:r>
      <w:r w:rsidR="00C076BD" w:rsidRPr="00FC1079">
        <w:t>1</w:t>
      </w:r>
      <w:r w:rsidR="00B72BB9" w:rsidRPr="00FC1079">
        <w:t xml:space="preserve"> ± </w:t>
      </w:r>
      <w:r w:rsidR="00C076BD" w:rsidRPr="00FC1079">
        <w:t>2.3</w:t>
      </w:r>
      <w:r w:rsidR="00B72BB9" w:rsidRPr="00FC1079">
        <w:t xml:space="preserve"> vs. 3.</w:t>
      </w:r>
      <w:r w:rsidR="00C076BD" w:rsidRPr="00FC1079">
        <w:t>5</w:t>
      </w:r>
      <w:r w:rsidR="00B72BB9" w:rsidRPr="00FC1079">
        <w:t xml:space="preserve"> ± </w:t>
      </w:r>
      <w:r w:rsidR="00FC1079" w:rsidRPr="00FC1079">
        <w:t>2.1</w:t>
      </w:r>
      <w:r w:rsidR="00B72BB9" w:rsidRPr="00FC1079">
        <w:t xml:space="preserve">). </w:t>
      </w:r>
      <w:r w:rsidR="00197066" w:rsidRPr="00FC1079">
        <w:t xml:space="preserve">The Korean </w:t>
      </w:r>
      <w:r w:rsidR="00640637" w:rsidRPr="00FC1079">
        <w:t>server</w:t>
      </w:r>
      <w:r w:rsidR="00197066" w:rsidRPr="00FC1079">
        <w:t xml:space="preserve"> had the highest combined average for the number of </w:t>
      </w:r>
      <w:r w:rsidR="00E50A1A">
        <w:t>matches</w:t>
      </w:r>
      <w:r w:rsidR="00197066" w:rsidRPr="00FC1079">
        <w:t xml:space="preserve"> per day of any other region (Figure 1</w:t>
      </w:r>
      <w:r w:rsidR="005628A2" w:rsidRPr="00FC1079">
        <w:t>a</w:t>
      </w:r>
      <w:r w:rsidR="00197066" w:rsidRPr="00FC1079">
        <w:t>).</w:t>
      </w:r>
      <w:r w:rsidR="00B632AA" w:rsidRPr="00FC1079">
        <w:t xml:space="preserve"> </w:t>
      </w:r>
    </w:p>
    <w:p w14:paraId="7FC8FC50" w14:textId="77777777" w:rsidR="004611E9" w:rsidRDefault="004611E9">
      <w:pPr>
        <w:spacing w:after="160" w:line="259" w:lineRule="auto"/>
      </w:pPr>
      <w:r>
        <w:br w:type="page"/>
      </w:r>
    </w:p>
    <w:p w14:paraId="64604627" w14:textId="77777777" w:rsidR="00FF104B" w:rsidRDefault="00246B76" w:rsidP="00FF104B">
      <w:pPr>
        <w:keepNext/>
        <w:jc w:val="center"/>
      </w:pPr>
      <w:r>
        <w:rPr>
          <w:noProof/>
        </w:rPr>
        <w:lastRenderedPageBreak/>
        <w:drawing>
          <wp:inline distT="0" distB="0" distL="0" distR="0" wp14:anchorId="00A24EE6" wp14:editId="2BF5265D">
            <wp:extent cx="5724525" cy="458152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4581525"/>
                    </a:xfrm>
                    <a:prstGeom prst="rect">
                      <a:avLst/>
                    </a:prstGeom>
                    <a:noFill/>
                    <a:ln>
                      <a:noFill/>
                    </a:ln>
                  </pic:spPr>
                </pic:pic>
              </a:graphicData>
            </a:graphic>
          </wp:inline>
        </w:drawing>
      </w:r>
    </w:p>
    <w:p w14:paraId="72AEBD08" w14:textId="601FB3FA" w:rsidR="00B72BB9" w:rsidRDefault="00FF104B" w:rsidP="00FF104B">
      <w:pPr>
        <w:pStyle w:val="Caption"/>
      </w:pPr>
      <w:r>
        <w:t xml:space="preserve">Figure </w:t>
      </w:r>
      <w:fldSimple w:instr=" SEQ Figure \* ARABIC ">
        <w:r w:rsidR="00C87D61">
          <w:rPr>
            <w:noProof/>
          </w:rPr>
          <w:t>1</w:t>
        </w:r>
      </w:fldSimple>
      <w:r>
        <w:t>.</w:t>
      </w:r>
    </w:p>
    <w:p w14:paraId="022F2C1C" w14:textId="77777777" w:rsidR="004611E9" w:rsidRDefault="004611E9" w:rsidP="004611E9">
      <w:pPr>
        <w:rPr>
          <w:i/>
          <w:iCs/>
        </w:rPr>
      </w:pPr>
      <w:r>
        <w:rPr>
          <w:i/>
          <w:iCs/>
        </w:rPr>
        <w:t xml:space="preserve">The a) average number and b) duration of matches per day according to server and tier. </w:t>
      </w:r>
    </w:p>
    <w:p w14:paraId="66BBD0B6" w14:textId="77777777" w:rsidR="004611E9" w:rsidRDefault="004611E9" w:rsidP="004611E9">
      <w:pPr>
        <w:rPr>
          <w:b/>
          <w:bCs/>
        </w:rPr>
      </w:pPr>
      <w:r>
        <w:rPr>
          <w:i/>
          <w:iCs/>
        </w:rPr>
        <w:t xml:space="preserve">Note. </w:t>
      </w:r>
      <w:r>
        <w:t xml:space="preserve">BR1 = Brazil, JP1 = Japan, RU = Russia, SG2 = Singapore, Malaysia, and Indonesia, NA1 = North America, KR = Korea, EUW1 = Europe West, VN2 = Vietnam. </w:t>
      </w:r>
      <w:r>
        <w:rPr>
          <w:i/>
          <w:iCs/>
        </w:rPr>
        <w:t xml:space="preserve"> </w:t>
      </w:r>
      <w:r w:rsidRPr="00915FCD">
        <w:rPr>
          <w:b/>
          <w:bCs/>
        </w:rPr>
        <w:t xml:space="preserve"> </w:t>
      </w:r>
    </w:p>
    <w:p w14:paraId="6F97AE21" w14:textId="77777777" w:rsidR="00FF104B" w:rsidRPr="00FF104B" w:rsidRDefault="00FF104B" w:rsidP="00FF104B">
      <w:pPr>
        <w:rPr>
          <w:b/>
          <w:bCs/>
          <w:i/>
          <w:iCs/>
        </w:rPr>
      </w:pPr>
    </w:p>
    <w:p w14:paraId="75ED31AD" w14:textId="75CFD4E9" w:rsidR="00993896" w:rsidRDefault="00B632AA" w:rsidP="00B632AA">
      <w:pPr>
        <w:ind w:firstLine="720"/>
      </w:pPr>
      <w:r>
        <w:t xml:space="preserve">When removing the days when players </w:t>
      </w:r>
      <w:r w:rsidR="0020583C">
        <w:t>had no</w:t>
      </w:r>
      <w:r>
        <w:t xml:space="preserve"> matches, the average number of</w:t>
      </w:r>
      <w:r w:rsidR="00CB688F">
        <w:t xml:space="preserve"> </w:t>
      </w:r>
      <w:r w:rsidR="00CB688F" w:rsidRPr="00FC1079">
        <w:t>ranked solo</w:t>
      </w:r>
      <w:r w:rsidR="00CB688F">
        <w:t>/due</w:t>
      </w:r>
      <w:r w:rsidR="00CB688F" w:rsidRPr="00FC1079">
        <w:t xml:space="preserve"> queue</w:t>
      </w:r>
      <w:r w:rsidR="00CB688F">
        <w:t xml:space="preserve"> </w:t>
      </w:r>
      <w:r>
        <w:t xml:space="preserve">matches per day increased by </w:t>
      </w:r>
      <w:r w:rsidR="00E62E96" w:rsidRPr="00E62E96">
        <w:t>2.0</w:t>
      </w:r>
      <w:r w:rsidRPr="00E62E96">
        <w:t xml:space="preserve"> ± </w:t>
      </w:r>
      <w:r w:rsidR="00E62E96" w:rsidRPr="00E62E96">
        <w:t>1</w:t>
      </w:r>
      <w:r w:rsidRPr="00E62E96">
        <w:t>.</w:t>
      </w:r>
      <w:r w:rsidR="00E62E96" w:rsidRPr="00E62E96">
        <w:t>2</w:t>
      </w:r>
      <w:r w:rsidR="00E62E96">
        <w:t>.</w:t>
      </w:r>
      <w:r>
        <w:t xml:space="preserve"> The average number of </w:t>
      </w:r>
      <w:r w:rsidR="0020583C">
        <w:t>daily matches</w:t>
      </w:r>
      <w:r>
        <w:t xml:space="preserve"> was as high as 7.6 among Korean Challenger players (Table 2). </w:t>
      </w:r>
    </w:p>
    <w:p w14:paraId="07530A11" w14:textId="04EC982C" w:rsidR="004611E9" w:rsidRDefault="004611E9">
      <w:pPr>
        <w:spacing w:after="160" w:line="259" w:lineRule="auto"/>
      </w:pPr>
      <w:r>
        <w:br w:type="page"/>
      </w:r>
    </w:p>
    <w:p w14:paraId="15C309A3" w14:textId="77777777" w:rsidR="005D7150" w:rsidRDefault="005D7150" w:rsidP="005D7150">
      <w:pPr>
        <w:pStyle w:val="Caption"/>
        <w:keepNext/>
      </w:pPr>
      <w:r w:rsidRPr="0061390D">
        <w:lastRenderedPageBreak/>
        <w:t>Table</w:t>
      </w:r>
      <w:r>
        <w:t xml:space="preserve"> 2.</w:t>
      </w:r>
    </w:p>
    <w:p w14:paraId="76556649" w14:textId="77777777" w:rsidR="005D7150" w:rsidRDefault="005D7150" w:rsidP="005D7150">
      <w:pPr>
        <w:rPr>
          <w:i/>
          <w:iCs/>
        </w:rPr>
      </w:pPr>
      <w:r>
        <w:rPr>
          <w:i/>
          <w:iCs/>
        </w:rPr>
        <w:t xml:space="preserve">The mean number of matches per day (removing days without play) based on server and tier. </w:t>
      </w:r>
    </w:p>
    <w:tbl>
      <w:tblPr>
        <w:tblStyle w:val="TableGrid"/>
        <w:tblW w:w="5003" w:type="pct"/>
        <w:tblBorders>
          <w:insideH w:val="none" w:sz="0" w:space="0" w:color="auto"/>
          <w:insideV w:val="none" w:sz="0" w:space="0" w:color="auto"/>
        </w:tblBorders>
        <w:tblLook w:val="04A0" w:firstRow="1" w:lastRow="0" w:firstColumn="1" w:lastColumn="0" w:noHBand="0" w:noVBand="1"/>
      </w:tblPr>
      <w:tblGrid>
        <w:gridCol w:w="1804"/>
        <w:gridCol w:w="1809"/>
        <w:gridCol w:w="1803"/>
        <w:gridCol w:w="1805"/>
        <w:gridCol w:w="1805"/>
      </w:tblGrid>
      <w:tr w:rsidR="005D7150" w:rsidRPr="00ED2047" w14:paraId="1495C16C" w14:textId="77777777" w:rsidTr="00181211">
        <w:trPr>
          <w:trHeight w:val="340"/>
        </w:trPr>
        <w:tc>
          <w:tcPr>
            <w:tcW w:w="999" w:type="pct"/>
            <w:tcBorders>
              <w:top w:val="single" w:sz="12" w:space="0" w:color="auto"/>
              <w:left w:val="nil"/>
              <w:bottom w:val="nil"/>
            </w:tcBorders>
            <w:vAlign w:val="center"/>
          </w:tcPr>
          <w:p w14:paraId="454207F0" w14:textId="77777777" w:rsidR="005D7150" w:rsidRDefault="005D7150" w:rsidP="00181211">
            <w:pPr>
              <w:spacing w:line="276" w:lineRule="auto"/>
              <w:rPr>
                <w:rFonts w:cs="Arial"/>
                <w:b/>
                <w:bCs/>
                <w:color w:val="000000" w:themeColor="text1"/>
                <w:sz w:val="20"/>
                <w:szCs w:val="20"/>
              </w:rPr>
            </w:pPr>
          </w:p>
        </w:tc>
        <w:tc>
          <w:tcPr>
            <w:tcW w:w="4001" w:type="pct"/>
            <w:gridSpan w:val="4"/>
            <w:tcBorders>
              <w:top w:val="single" w:sz="12" w:space="0" w:color="auto"/>
              <w:bottom w:val="single" w:sz="4" w:space="0" w:color="auto"/>
            </w:tcBorders>
            <w:vAlign w:val="center"/>
          </w:tcPr>
          <w:p w14:paraId="11376120" w14:textId="77777777" w:rsidR="005D7150" w:rsidRPr="00486078" w:rsidRDefault="005D7150" w:rsidP="00181211">
            <w:pPr>
              <w:spacing w:line="276" w:lineRule="auto"/>
              <w:jc w:val="center"/>
              <w:rPr>
                <w:rFonts w:cs="Arial"/>
                <w:b/>
                <w:bCs/>
                <w:color w:val="000000" w:themeColor="text1"/>
                <w:sz w:val="20"/>
                <w:szCs w:val="20"/>
              </w:rPr>
            </w:pPr>
            <w:r>
              <w:rPr>
                <w:rFonts w:cs="Arial"/>
                <w:b/>
                <w:bCs/>
                <w:color w:val="000000" w:themeColor="text1"/>
                <w:sz w:val="20"/>
                <w:szCs w:val="20"/>
              </w:rPr>
              <w:t>Tier</w:t>
            </w:r>
          </w:p>
        </w:tc>
      </w:tr>
      <w:tr w:rsidR="005D7150" w:rsidRPr="00ED2047" w14:paraId="59D13BA4" w14:textId="77777777" w:rsidTr="00181211">
        <w:trPr>
          <w:trHeight w:val="340"/>
        </w:trPr>
        <w:tc>
          <w:tcPr>
            <w:tcW w:w="999" w:type="pct"/>
            <w:tcBorders>
              <w:top w:val="nil"/>
              <w:left w:val="nil"/>
              <w:bottom w:val="single" w:sz="12" w:space="0" w:color="auto"/>
            </w:tcBorders>
            <w:vAlign w:val="center"/>
          </w:tcPr>
          <w:p w14:paraId="502A19EF" w14:textId="77777777" w:rsidR="005D7150" w:rsidRPr="00ED2047" w:rsidRDefault="005D7150" w:rsidP="00181211">
            <w:pPr>
              <w:spacing w:line="276" w:lineRule="auto"/>
              <w:rPr>
                <w:rFonts w:cs="Arial"/>
                <w:b/>
                <w:bCs/>
                <w:color w:val="000000" w:themeColor="text1"/>
                <w:sz w:val="20"/>
                <w:szCs w:val="20"/>
              </w:rPr>
            </w:pPr>
            <w:r>
              <w:rPr>
                <w:rFonts w:cs="Arial"/>
                <w:b/>
                <w:bCs/>
                <w:color w:val="000000" w:themeColor="text1"/>
                <w:sz w:val="20"/>
                <w:szCs w:val="20"/>
              </w:rPr>
              <w:t>Servers</w:t>
            </w:r>
          </w:p>
        </w:tc>
        <w:tc>
          <w:tcPr>
            <w:tcW w:w="1002" w:type="pct"/>
            <w:tcBorders>
              <w:top w:val="single" w:sz="4" w:space="0" w:color="auto"/>
              <w:bottom w:val="single" w:sz="12" w:space="0" w:color="auto"/>
            </w:tcBorders>
            <w:vAlign w:val="center"/>
          </w:tcPr>
          <w:p w14:paraId="7A31CD86" w14:textId="77777777" w:rsidR="005D7150" w:rsidRPr="00ED2047" w:rsidRDefault="005D7150" w:rsidP="00181211">
            <w:pPr>
              <w:spacing w:line="276" w:lineRule="auto"/>
              <w:jc w:val="center"/>
              <w:rPr>
                <w:rFonts w:cs="Arial"/>
                <w:b/>
                <w:bCs/>
                <w:color w:val="000000" w:themeColor="text1"/>
                <w:sz w:val="20"/>
                <w:szCs w:val="20"/>
              </w:rPr>
            </w:pPr>
            <w:r>
              <w:rPr>
                <w:rFonts w:cs="Arial"/>
                <w:b/>
                <w:bCs/>
                <w:color w:val="000000" w:themeColor="text1"/>
                <w:sz w:val="20"/>
                <w:szCs w:val="20"/>
              </w:rPr>
              <w:t>Challenger</w:t>
            </w:r>
          </w:p>
        </w:tc>
        <w:tc>
          <w:tcPr>
            <w:tcW w:w="999" w:type="pct"/>
            <w:tcBorders>
              <w:top w:val="single" w:sz="4" w:space="0" w:color="auto"/>
              <w:bottom w:val="single" w:sz="12" w:space="0" w:color="auto"/>
            </w:tcBorders>
            <w:vAlign w:val="center"/>
          </w:tcPr>
          <w:p w14:paraId="63A67681" w14:textId="77777777" w:rsidR="005D7150" w:rsidRPr="00ED2047" w:rsidRDefault="005D7150" w:rsidP="00181211">
            <w:pPr>
              <w:spacing w:line="276" w:lineRule="auto"/>
              <w:jc w:val="center"/>
              <w:rPr>
                <w:rFonts w:cs="Arial"/>
                <w:b/>
                <w:bCs/>
                <w:color w:val="000000" w:themeColor="text1"/>
                <w:sz w:val="20"/>
                <w:szCs w:val="20"/>
              </w:rPr>
            </w:pPr>
            <w:r>
              <w:rPr>
                <w:rFonts w:cs="Arial"/>
                <w:b/>
                <w:bCs/>
                <w:color w:val="000000" w:themeColor="text1"/>
                <w:sz w:val="20"/>
                <w:szCs w:val="20"/>
              </w:rPr>
              <w:t>Grandmaster</w:t>
            </w:r>
          </w:p>
        </w:tc>
        <w:tc>
          <w:tcPr>
            <w:tcW w:w="1000" w:type="pct"/>
            <w:tcBorders>
              <w:top w:val="single" w:sz="4" w:space="0" w:color="auto"/>
              <w:bottom w:val="single" w:sz="12" w:space="0" w:color="auto"/>
            </w:tcBorders>
            <w:vAlign w:val="center"/>
          </w:tcPr>
          <w:p w14:paraId="041D1134" w14:textId="77777777" w:rsidR="005D7150" w:rsidRPr="00ED2047" w:rsidRDefault="005D7150" w:rsidP="00181211">
            <w:pPr>
              <w:spacing w:line="276" w:lineRule="auto"/>
              <w:jc w:val="center"/>
              <w:rPr>
                <w:rFonts w:cs="Arial"/>
                <w:b/>
                <w:bCs/>
                <w:color w:val="000000" w:themeColor="text1"/>
                <w:sz w:val="20"/>
                <w:szCs w:val="20"/>
              </w:rPr>
            </w:pPr>
            <w:r>
              <w:rPr>
                <w:rFonts w:cs="Arial"/>
                <w:b/>
                <w:bCs/>
                <w:color w:val="000000" w:themeColor="text1"/>
                <w:sz w:val="20"/>
                <w:szCs w:val="20"/>
              </w:rPr>
              <w:t>Master</w:t>
            </w:r>
          </w:p>
        </w:tc>
        <w:tc>
          <w:tcPr>
            <w:tcW w:w="1000" w:type="pct"/>
            <w:tcBorders>
              <w:top w:val="single" w:sz="4" w:space="0" w:color="auto"/>
              <w:bottom w:val="single" w:sz="12" w:space="0" w:color="auto"/>
              <w:right w:val="nil"/>
            </w:tcBorders>
            <w:vAlign w:val="center"/>
          </w:tcPr>
          <w:p w14:paraId="6A299F4D" w14:textId="77777777" w:rsidR="005D7150" w:rsidRPr="00ED2047" w:rsidRDefault="005D7150" w:rsidP="00181211">
            <w:pPr>
              <w:spacing w:line="276" w:lineRule="auto"/>
              <w:jc w:val="center"/>
              <w:rPr>
                <w:rFonts w:cs="Arial"/>
                <w:b/>
                <w:bCs/>
                <w:color w:val="000000" w:themeColor="text1"/>
                <w:sz w:val="20"/>
                <w:szCs w:val="20"/>
              </w:rPr>
            </w:pPr>
            <w:r>
              <w:rPr>
                <w:rFonts w:cs="Arial"/>
                <w:b/>
                <w:bCs/>
                <w:color w:val="000000" w:themeColor="text1"/>
                <w:sz w:val="20"/>
                <w:szCs w:val="20"/>
              </w:rPr>
              <w:t>Emerald 1</w:t>
            </w:r>
          </w:p>
        </w:tc>
      </w:tr>
      <w:tr w:rsidR="005D7150" w:rsidRPr="005762D5" w14:paraId="73617D7F" w14:textId="77777777" w:rsidTr="00181211">
        <w:trPr>
          <w:trHeight w:val="340"/>
        </w:trPr>
        <w:tc>
          <w:tcPr>
            <w:tcW w:w="999" w:type="pct"/>
            <w:tcBorders>
              <w:top w:val="single" w:sz="12" w:space="0" w:color="auto"/>
              <w:left w:val="nil"/>
              <w:bottom w:val="nil"/>
            </w:tcBorders>
            <w:vAlign w:val="center"/>
          </w:tcPr>
          <w:p w14:paraId="4AE9E748" w14:textId="77777777" w:rsidR="005D7150" w:rsidRPr="005762D5" w:rsidRDefault="005D7150" w:rsidP="00181211">
            <w:pPr>
              <w:spacing w:line="276" w:lineRule="auto"/>
              <w:rPr>
                <w:rFonts w:cs="Arial"/>
                <w:color w:val="000000" w:themeColor="text1"/>
                <w:sz w:val="20"/>
                <w:szCs w:val="20"/>
              </w:rPr>
            </w:pPr>
            <w:r>
              <w:rPr>
                <w:rFonts w:cs="Arial"/>
                <w:color w:val="000000" w:themeColor="text1"/>
                <w:sz w:val="20"/>
                <w:szCs w:val="20"/>
              </w:rPr>
              <w:t>BR1</w:t>
            </w:r>
          </w:p>
        </w:tc>
        <w:tc>
          <w:tcPr>
            <w:tcW w:w="1002" w:type="pct"/>
            <w:tcBorders>
              <w:top w:val="single" w:sz="12" w:space="0" w:color="auto"/>
              <w:bottom w:val="nil"/>
            </w:tcBorders>
            <w:vAlign w:val="center"/>
          </w:tcPr>
          <w:p w14:paraId="0A5A93CB"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5.9 </w:t>
            </w:r>
            <w:r w:rsidRPr="00C40718">
              <w:rPr>
                <w:sz w:val="20"/>
                <w:szCs w:val="20"/>
              </w:rPr>
              <w:t>±</w:t>
            </w:r>
            <w:r>
              <w:rPr>
                <w:sz w:val="20"/>
                <w:szCs w:val="20"/>
              </w:rPr>
              <w:t xml:space="preserve"> 1.9</w:t>
            </w:r>
          </w:p>
        </w:tc>
        <w:tc>
          <w:tcPr>
            <w:tcW w:w="999" w:type="pct"/>
            <w:tcBorders>
              <w:top w:val="single" w:sz="12" w:space="0" w:color="auto"/>
              <w:bottom w:val="nil"/>
            </w:tcBorders>
            <w:vAlign w:val="center"/>
          </w:tcPr>
          <w:p w14:paraId="4FE49608"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6.3 </w:t>
            </w:r>
            <w:r w:rsidRPr="00C40718">
              <w:rPr>
                <w:sz w:val="20"/>
                <w:szCs w:val="20"/>
              </w:rPr>
              <w:t>±</w:t>
            </w:r>
            <w:r>
              <w:rPr>
                <w:sz w:val="20"/>
                <w:szCs w:val="20"/>
              </w:rPr>
              <w:t xml:space="preserve"> 2.3</w:t>
            </w:r>
          </w:p>
        </w:tc>
        <w:tc>
          <w:tcPr>
            <w:tcW w:w="1000" w:type="pct"/>
            <w:tcBorders>
              <w:top w:val="single" w:sz="12" w:space="0" w:color="auto"/>
              <w:bottom w:val="nil"/>
            </w:tcBorders>
            <w:vAlign w:val="center"/>
          </w:tcPr>
          <w:p w14:paraId="0F5C8F18"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5.1 </w:t>
            </w:r>
            <w:r w:rsidRPr="00C40718">
              <w:rPr>
                <w:sz w:val="20"/>
                <w:szCs w:val="20"/>
              </w:rPr>
              <w:t>±</w:t>
            </w:r>
            <w:r>
              <w:rPr>
                <w:sz w:val="20"/>
                <w:szCs w:val="20"/>
              </w:rPr>
              <w:t xml:space="preserve"> 1.2</w:t>
            </w:r>
          </w:p>
        </w:tc>
        <w:tc>
          <w:tcPr>
            <w:tcW w:w="1000" w:type="pct"/>
            <w:tcBorders>
              <w:top w:val="single" w:sz="12" w:space="0" w:color="auto"/>
              <w:bottom w:val="nil"/>
              <w:right w:val="nil"/>
            </w:tcBorders>
            <w:vAlign w:val="center"/>
          </w:tcPr>
          <w:p w14:paraId="6CEA4B8E"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4.9 </w:t>
            </w:r>
            <w:r w:rsidRPr="00C40718">
              <w:rPr>
                <w:sz w:val="20"/>
                <w:szCs w:val="20"/>
              </w:rPr>
              <w:t>±</w:t>
            </w:r>
            <w:r>
              <w:rPr>
                <w:sz w:val="20"/>
                <w:szCs w:val="20"/>
              </w:rPr>
              <w:t xml:space="preserve"> 1.9</w:t>
            </w:r>
          </w:p>
        </w:tc>
      </w:tr>
      <w:tr w:rsidR="005D7150" w:rsidRPr="005762D5" w14:paraId="6115A95F" w14:textId="77777777" w:rsidTr="00181211">
        <w:trPr>
          <w:trHeight w:val="340"/>
        </w:trPr>
        <w:tc>
          <w:tcPr>
            <w:tcW w:w="999" w:type="pct"/>
            <w:tcBorders>
              <w:top w:val="nil"/>
              <w:left w:val="nil"/>
              <w:bottom w:val="nil"/>
            </w:tcBorders>
            <w:vAlign w:val="center"/>
          </w:tcPr>
          <w:p w14:paraId="7E18552A" w14:textId="77777777" w:rsidR="005D7150" w:rsidRPr="005762D5" w:rsidRDefault="005D7150" w:rsidP="00181211">
            <w:pPr>
              <w:spacing w:line="276" w:lineRule="auto"/>
              <w:rPr>
                <w:rFonts w:cs="Arial"/>
                <w:color w:val="000000" w:themeColor="text1"/>
                <w:sz w:val="20"/>
                <w:szCs w:val="20"/>
              </w:rPr>
            </w:pPr>
            <w:r>
              <w:rPr>
                <w:rFonts w:cs="Arial"/>
                <w:color w:val="000000" w:themeColor="text1"/>
                <w:sz w:val="20"/>
                <w:szCs w:val="20"/>
              </w:rPr>
              <w:t>JP1</w:t>
            </w:r>
          </w:p>
        </w:tc>
        <w:tc>
          <w:tcPr>
            <w:tcW w:w="1002" w:type="pct"/>
            <w:tcBorders>
              <w:top w:val="nil"/>
              <w:bottom w:val="nil"/>
            </w:tcBorders>
            <w:vAlign w:val="center"/>
          </w:tcPr>
          <w:p w14:paraId="068818FC"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6.7 </w:t>
            </w:r>
            <w:r w:rsidRPr="00C40718">
              <w:rPr>
                <w:sz w:val="20"/>
                <w:szCs w:val="20"/>
              </w:rPr>
              <w:t>±</w:t>
            </w:r>
            <w:r>
              <w:rPr>
                <w:sz w:val="20"/>
                <w:szCs w:val="20"/>
              </w:rPr>
              <w:t xml:space="preserve"> 2.4</w:t>
            </w:r>
          </w:p>
        </w:tc>
        <w:tc>
          <w:tcPr>
            <w:tcW w:w="999" w:type="pct"/>
            <w:tcBorders>
              <w:top w:val="nil"/>
              <w:bottom w:val="nil"/>
            </w:tcBorders>
            <w:vAlign w:val="center"/>
          </w:tcPr>
          <w:p w14:paraId="2E331E3D"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5.8 </w:t>
            </w:r>
            <w:r w:rsidRPr="00C40718">
              <w:rPr>
                <w:sz w:val="20"/>
                <w:szCs w:val="20"/>
              </w:rPr>
              <w:t>±</w:t>
            </w:r>
            <w:r>
              <w:rPr>
                <w:sz w:val="20"/>
                <w:szCs w:val="20"/>
              </w:rPr>
              <w:t xml:space="preserve"> 1.8</w:t>
            </w:r>
          </w:p>
        </w:tc>
        <w:tc>
          <w:tcPr>
            <w:tcW w:w="1000" w:type="pct"/>
            <w:tcBorders>
              <w:top w:val="nil"/>
              <w:bottom w:val="nil"/>
            </w:tcBorders>
            <w:vAlign w:val="center"/>
          </w:tcPr>
          <w:p w14:paraId="7A1BE7D1"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5.5 </w:t>
            </w:r>
            <w:r w:rsidRPr="00C40718">
              <w:rPr>
                <w:sz w:val="20"/>
                <w:szCs w:val="20"/>
              </w:rPr>
              <w:t>±</w:t>
            </w:r>
            <w:r>
              <w:rPr>
                <w:sz w:val="20"/>
                <w:szCs w:val="20"/>
              </w:rPr>
              <w:t xml:space="preserve"> 2.0</w:t>
            </w:r>
          </w:p>
        </w:tc>
        <w:tc>
          <w:tcPr>
            <w:tcW w:w="1000" w:type="pct"/>
            <w:tcBorders>
              <w:top w:val="nil"/>
              <w:bottom w:val="nil"/>
              <w:right w:val="nil"/>
            </w:tcBorders>
            <w:vAlign w:val="center"/>
          </w:tcPr>
          <w:p w14:paraId="1B993F14"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5.6 </w:t>
            </w:r>
            <w:r w:rsidRPr="00C40718">
              <w:rPr>
                <w:sz w:val="20"/>
                <w:szCs w:val="20"/>
              </w:rPr>
              <w:t>±</w:t>
            </w:r>
            <w:r>
              <w:rPr>
                <w:sz w:val="20"/>
                <w:szCs w:val="20"/>
              </w:rPr>
              <w:t xml:space="preserve"> 2.2</w:t>
            </w:r>
          </w:p>
        </w:tc>
      </w:tr>
      <w:tr w:rsidR="005D7150" w:rsidRPr="005762D5" w14:paraId="5B8BB044" w14:textId="77777777" w:rsidTr="00181211">
        <w:trPr>
          <w:trHeight w:val="340"/>
        </w:trPr>
        <w:tc>
          <w:tcPr>
            <w:tcW w:w="999" w:type="pct"/>
            <w:tcBorders>
              <w:top w:val="nil"/>
              <w:left w:val="nil"/>
              <w:bottom w:val="nil"/>
            </w:tcBorders>
            <w:vAlign w:val="center"/>
          </w:tcPr>
          <w:p w14:paraId="170F89D1" w14:textId="77777777" w:rsidR="005D7150" w:rsidRPr="005762D5" w:rsidRDefault="005D7150" w:rsidP="00181211">
            <w:pPr>
              <w:spacing w:line="276" w:lineRule="auto"/>
              <w:rPr>
                <w:rFonts w:cs="Arial"/>
                <w:color w:val="000000" w:themeColor="text1"/>
                <w:sz w:val="20"/>
                <w:szCs w:val="20"/>
              </w:rPr>
            </w:pPr>
            <w:r>
              <w:rPr>
                <w:rFonts w:cs="Arial"/>
                <w:color w:val="000000" w:themeColor="text1"/>
                <w:sz w:val="20"/>
                <w:szCs w:val="20"/>
              </w:rPr>
              <w:t>RU</w:t>
            </w:r>
          </w:p>
        </w:tc>
        <w:tc>
          <w:tcPr>
            <w:tcW w:w="1002" w:type="pct"/>
            <w:tcBorders>
              <w:top w:val="nil"/>
              <w:bottom w:val="nil"/>
            </w:tcBorders>
            <w:vAlign w:val="center"/>
          </w:tcPr>
          <w:p w14:paraId="4A26C468"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5.4 </w:t>
            </w:r>
            <w:r w:rsidRPr="00C40718">
              <w:rPr>
                <w:sz w:val="20"/>
                <w:szCs w:val="20"/>
              </w:rPr>
              <w:t>±</w:t>
            </w:r>
            <w:r>
              <w:rPr>
                <w:sz w:val="20"/>
                <w:szCs w:val="20"/>
              </w:rPr>
              <w:t xml:space="preserve"> 1.7</w:t>
            </w:r>
          </w:p>
        </w:tc>
        <w:tc>
          <w:tcPr>
            <w:tcW w:w="999" w:type="pct"/>
            <w:tcBorders>
              <w:top w:val="nil"/>
              <w:bottom w:val="nil"/>
            </w:tcBorders>
            <w:vAlign w:val="center"/>
          </w:tcPr>
          <w:p w14:paraId="4C49AD6F"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4.9 </w:t>
            </w:r>
            <w:r w:rsidRPr="00C40718">
              <w:rPr>
                <w:sz w:val="20"/>
                <w:szCs w:val="20"/>
              </w:rPr>
              <w:t>±</w:t>
            </w:r>
            <w:r>
              <w:rPr>
                <w:sz w:val="20"/>
                <w:szCs w:val="20"/>
              </w:rPr>
              <w:t xml:space="preserve"> 1.8</w:t>
            </w:r>
          </w:p>
        </w:tc>
        <w:tc>
          <w:tcPr>
            <w:tcW w:w="1000" w:type="pct"/>
            <w:tcBorders>
              <w:top w:val="nil"/>
              <w:bottom w:val="nil"/>
            </w:tcBorders>
            <w:vAlign w:val="center"/>
          </w:tcPr>
          <w:p w14:paraId="418F6B7E"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5.0 </w:t>
            </w:r>
            <w:r w:rsidRPr="00C40718">
              <w:rPr>
                <w:sz w:val="20"/>
                <w:szCs w:val="20"/>
              </w:rPr>
              <w:t>±</w:t>
            </w:r>
            <w:r>
              <w:rPr>
                <w:sz w:val="20"/>
                <w:szCs w:val="20"/>
              </w:rPr>
              <w:t xml:space="preserve"> 1.9</w:t>
            </w:r>
          </w:p>
        </w:tc>
        <w:tc>
          <w:tcPr>
            <w:tcW w:w="1000" w:type="pct"/>
            <w:tcBorders>
              <w:top w:val="nil"/>
              <w:bottom w:val="nil"/>
              <w:right w:val="nil"/>
            </w:tcBorders>
            <w:vAlign w:val="center"/>
          </w:tcPr>
          <w:p w14:paraId="361B9764"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4.9 </w:t>
            </w:r>
            <w:r w:rsidRPr="00C40718">
              <w:rPr>
                <w:sz w:val="20"/>
                <w:szCs w:val="20"/>
              </w:rPr>
              <w:t>±</w:t>
            </w:r>
            <w:r>
              <w:rPr>
                <w:sz w:val="20"/>
                <w:szCs w:val="20"/>
              </w:rPr>
              <w:t xml:space="preserve"> 1.8</w:t>
            </w:r>
          </w:p>
        </w:tc>
      </w:tr>
      <w:tr w:rsidR="005D7150" w:rsidRPr="005762D5" w14:paraId="26C84398" w14:textId="77777777" w:rsidTr="00181211">
        <w:trPr>
          <w:trHeight w:val="340"/>
        </w:trPr>
        <w:tc>
          <w:tcPr>
            <w:tcW w:w="999" w:type="pct"/>
            <w:tcBorders>
              <w:top w:val="nil"/>
              <w:left w:val="nil"/>
              <w:bottom w:val="nil"/>
            </w:tcBorders>
            <w:vAlign w:val="center"/>
          </w:tcPr>
          <w:p w14:paraId="18F611D9" w14:textId="77777777" w:rsidR="005D7150" w:rsidRPr="005762D5" w:rsidRDefault="005D7150" w:rsidP="00181211">
            <w:pPr>
              <w:spacing w:line="276" w:lineRule="auto"/>
              <w:rPr>
                <w:rFonts w:cs="Arial"/>
                <w:color w:val="000000" w:themeColor="text1"/>
                <w:sz w:val="20"/>
                <w:szCs w:val="20"/>
              </w:rPr>
            </w:pPr>
            <w:r>
              <w:rPr>
                <w:rFonts w:cs="Arial"/>
                <w:color w:val="000000" w:themeColor="text1"/>
                <w:sz w:val="20"/>
                <w:szCs w:val="20"/>
              </w:rPr>
              <w:t>SG2</w:t>
            </w:r>
          </w:p>
        </w:tc>
        <w:tc>
          <w:tcPr>
            <w:tcW w:w="1002" w:type="pct"/>
            <w:tcBorders>
              <w:top w:val="nil"/>
              <w:bottom w:val="nil"/>
            </w:tcBorders>
            <w:vAlign w:val="center"/>
          </w:tcPr>
          <w:p w14:paraId="33176FF3"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7.0 </w:t>
            </w:r>
            <w:r w:rsidRPr="00C40718">
              <w:rPr>
                <w:sz w:val="20"/>
                <w:szCs w:val="20"/>
              </w:rPr>
              <w:t>±</w:t>
            </w:r>
            <w:r>
              <w:rPr>
                <w:sz w:val="20"/>
                <w:szCs w:val="20"/>
              </w:rPr>
              <w:t xml:space="preserve"> 2.7</w:t>
            </w:r>
          </w:p>
        </w:tc>
        <w:tc>
          <w:tcPr>
            <w:tcW w:w="999" w:type="pct"/>
            <w:tcBorders>
              <w:top w:val="nil"/>
              <w:bottom w:val="nil"/>
            </w:tcBorders>
            <w:vAlign w:val="center"/>
          </w:tcPr>
          <w:p w14:paraId="252E8702"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6.2 </w:t>
            </w:r>
            <w:r w:rsidRPr="00C40718">
              <w:rPr>
                <w:sz w:val="20"/>
                <w:szCs w:val="20"/>
              </w:rPr>
              <w:t>±</w:t>
            </w:r>
            <w:r>
              <w:rPr>
                <w:sz w:val="20"/>
                <w:szCs w:val="20"/>
              </w:rPr>
              <w:t xml:space="preserve"> 2.1</w:t>
            </w:r>
          </w:p>
        </w:tc>
        <w:tc>
          <w:tcPr>
            <w:tcW w:w="1000" w:type="pct"/>
            <w:tcBorders>
              <w:top w:val="nil"/>
              <w:bottom w:val="nil"/>
            </w:tcBorders>
            <w:vAlign w:val="center"/>
          </w:tcPr>
          <w:p w14:paraId="04FE2761"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5.4 </w:t>
            </w:r>
            <w:r w:rsidRPr="00C40718">
              <w:rPr>
                <w:sz w:val="20"/>
                <w:szCs w:val="20"/>
              </w:rPr>
              <w:t>±</w:t>
            </w:r>
            <w:r>
              <w:rPr>
                <w:sz w:val="20"/>
                <w:szCs w:val="20"/>
              </w:rPr>
              <w:t xml:space="preserve"> 2.2</w:t>
            </w:r>
          </w:p>
        </w:tc>
        <w:tc>
          <w:tcPr>
            <w:tcW w:w="1000" w:type="pct"/>
            <w:tcBorders>
              <w:top w:val="nil"/>
              <w:bottom w:val="nil"/>
              <w:right w:val="nil"/>
            </w:tcBorders>
            <w:vAlign w:val="center"/>
          </w:tcPr>
          <w:p w14:paraId="25396AF0"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5.0 </w:t>
            </w:r>
            <w:r w:rsidRPr="00C40718">
              <w:rPr>
                <w:sz w:val="20"/>
                <w:szCs w:val="20"/>
              </w:rPr>
              <w:t>±</w:t>
            </w:r>
            <w:r>
              <w:rPr>
                <w:sz w:val="20"/>
                <w:szCs w:val="20"/>
              </w:rPr>
              <w:t xml:space="preserve"> 1.9</w:t>
            </w:r>
          </w:p>
        </w:tc>
      </w:tr>
      <w:tr w:rsidR="005D7150" w:rsidRPr="005762D5" w14:paraId="68158450" w14:textId="77777777" w:rsidTr="00181211">
        <w:trPr>
          <w:trHeight w:val="340"/>
        </w:trPr>
        <w:tc>
          <w:tcPr>
            <w:tcW w:w="999" w:type="pct"/>
            <w:tcBorders>
              <w:top w:val="nil"/>
              <w:left w:val="nil"/>
              <w:bottom w:val="nil"/>
            </w:tcBorders>
            <w:vAlign w:val="center"/>
          </w:tcPr>
          <w:p w14:paraId="6BD5DFDB" w14:textId="77777777" w:rsidR="005D7150" w:rsidRDefault="005D7150" w:rsidP="00181211">
            <w:pPr>
              <w:spacing w:line="276" w:lineRule="auto"/>
              <w:rPr>
                <w:rFonts w:cs="Arial"/>
                <w:color w:val="000000" w:themeColor="text1"/>
                <w:sz w:val="20"/>
                <w:szCs w:val="20"/>
              </w:rPr>
            </w:pPr>
            <w:r>
              <w:rPr>
                <w:rFonts w:cs="Arial"/>
                <w:color w:val="000000" w:themeColor="text1"/>
                <w:sz w:val="20"/>
                <w:szCs w:val="20"/>
              </w:rPr>
              <w:t>NA1</w:t>
            </w:r>
          </w:p>
        </w:tc>
        <w:tc>
          <w:tcPr>
            <w:tcW w:w="1002" w:type="pct"/>
            <w:tcBorders>
              <w:top w:val="nil"/>
              <w:bottom w:val="nil"/>
            </w:tcBorders>
            <w:vAlign w:val="center"/>
          </w:tcPr>
          <w:p w14:paraId="06F9B2E6"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7.0 </w:t>
            </w:r>
            <w:r w:rsidRPr="00C40718">
              <w:rPr>
                <w:sz w:val="20"/>
                <w:szCs w:val="20"/>
              </w:rPr>
              <w:t>±</w:t>
            </w:r>
            <w:r>
              <w:rPr>
                <w:sz w:val="20"/>
                <w:szCs w:val="20"/>
              </w:rPr>
              <w:t xml:space="preserve"> 2.4</w:t>
            </w:r>
          </w:p>
        </w:tc>
        <w:tc>
          <w:tcPr>
            <w:tcW w:w="999" w:type="pct"/>
            <w:tcBorders>
              <w:top w:val="nil"/>
              <w:bottom w:val="nil"/>
            </w:tcBorders>
            <w:vAlign w:val="center"/>
          </w:tcPr>
          <w:p w14:paraId="3450C90B"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6.5 </w:t>
            </w:r>
            <w:r w:rsidRPr="00C40718">
              <w:rPr>
                <w:sz w:val="20"/>
                <w:szCs w:val="20"/>
              </w:rPr>
              <w:t>±</w:t>
            </w:r>
            <w:r>
              <w:rPr>
                <w:sz w:val="20"/>
                <w:szCs w:val="20"/>
              </w:rPr>
              <w:t xml:space="preserve"> 2.8</w:t>
            </w:r>
          </w:p>
        </w:tc>
        <w:tc>
          <w:tcPr>
            <w:tcW w:w="1000" w:type="pct"/>
            <w:tcBorders>
              <w:top w:val="nil"/>
              <w:bottom w:val="nil"/>
            </w:tcBorders>
            <w:vAlign w:val="center"/>
          </w:tcPr>
          <w:p w14:paraId="1A3D7A46"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5.5 </w:t>
            </w:r>
            <w:r w:rsidRPr="00C40718">
              <w:rPr>
                <w:sz w:val="20"/>
                <w:szCs w:val="20"/>
              </w:rPr>
              <w:t>±</w:t>
            </w:r>
            <w:r>
              <w:rPr>
                <w:sz w:val="20"/>
                <w:szCs w:val="20"/>
              </w:rPr>
              <w:t xml:space="preserve"> 2.6</w:t>
            </w:r>
          </w:p>
        </w:tc>
        <w:tc>
          <w:tcPr>
            <w:tcW w:w="1000" w:type="pct"/>
            <w:tcBorders>
              <w:top w:val="nil"/>
              <w:bottom w:val="nil"/>
              <w:right w:val="nil"/>
            </w:tcBorders>
            <w:vAlign w:val="center"/>
          </w:tcPr>
          <w:p w14:paraId="438889A6"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4.3 </w:t>
            </w:r>
            <w:r w:rsidRPr="00C40718">
              <w:rPr>
                <w:sz w:val="20"/>
                <w:szCs w:val="20"/>
              </w:rPr>
              <w:t>±</w:t>
            </w:r>
            <w:r>
              <w:rPr>
                <w:sz w:val="20"/>
                <w:szCs w:val="20"/>
              </w:rPr>
              <w:t xml:space="preserve"> 1.4</w:t>
            </w:r>
          </w:p>
        </w:tc>
      </w:tr>
      <w:tr w:rsidR="005D7150" w:rsidRPr="005762D5" w14:paraId="040B4D98" w14:textId="77777777" w:rsidTr="00181211">
        <w:trPr>
          <w:trHeight w:val="340"/>
        </w:trPr>
        <w:tc>
          <w:tcPr>
            <w:tcW w:w="999" w:type="pct"/>
            <w:tcBorders>
              <w:top w:val="nil"/>
              <w:left w:val="nil"/>
              <w:bottom w:val="nil"/>
            </w:tcBorders>
            <w:vAlign w:val="center"/>
          </w:tcPr>
          <w:p w14:paraId="1C81D731" w14:textId="77777777" w:rsidR="005D7150" w:rsidRDefault="005D7150" w:rsidP="00181211">
            <w:pPr>
              <w:spacing w:line="276" w:lineRule="auto"/>
              <w:rPr>
                <w:rFonts w:cs="Arial"/>
                <w:color w:val="000000" w:themeColor="text1"/>
                <w:sz w:val="20"/>
                <w:szCs w:val="20"/>
              </w:rPr>
            </w:pPr>
            <w:r>
              <w:rPr>
                <w:rFonts w:cs="Arial"/>
                <w:color w:val="000000" w:themeColor="text1"/>
                <w:sz w:val="20"/>
                <w:szCs w:val="20"/>
              </w:rPr>
              <w:t>KR</w:t>
            </w:r>
          </w:p>
        </w:tc>
        <w:tc>
          <w:tcPr>
            <w:tcW w:w="1002" w:type="pct"/>
            <w:tcBorders>
              <w:top w:val="nil"/>
              <w:bottom w:val="nil"/>
            </w:tcBorders>
            <w:vAlign w:val="center"/>
          </w:tcPr>
          <w:p w14:paraId="3C293C62"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7.6 </w:t>
            </w:r>
            <w:r w:rsidRPr="00C40718">
              <w:rPr>
                <w:sz w:val="20"/>
                <w:szCs w:val="20"/>
              </w:rPr>
              <w:t>±</w:t>
            </w:r>
            <w:r>
              <w:rPr>
                <w:sz w:val="20"/>
                <w:szCs w:val="20"/>
              </w:rPr>
              <w:t xml:space="preserve"> 2.0</w:t>
            </w:r>
          </w:p>
        </w:tc>
        <w:tc>
          <w:tcPr>
            <w:tcW w:w="999" w:type="pct"/>
            <w:tcBorders>
              <w:top w:val="nil"/>
              <w:bottom w:val="nil"/>
            </w:tcBorders>
            <w:vAlign w:val="center"/>
          </w:tcPr>
          <w:p w14:paraId="14FE3D51"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6.7 </w:t>
            </w:r>
            <w:r w:rsidRPr="00C40718">
              <w:rPr>
                <w:sz w:val="20"/>
                <w:szCs w:val="20"/>
              </w:rPr>
              <w:t>±</w:t>
            </w:r>
            <w:r>
              <w:rPr>
                <w:sz w:val="20"/>
                <w:szCs w:val="20"/>
              </w:rPr>
              <w:t xml:space="preserve"> 2.5</w:t>
            </w:r>
          </w:p>
        </w:tc>
        <w:tc>
          <w:tcPr>
            <w:tcW w:w="1000" w:type="pct"/>
            <w:tcBorders>
              <w:top w:val="nil"/>
              <w:bottom w:val="nil"/>
            </w:tcBorders>
            <w:vAlign w:val="center"/>
          </w:tcPr>
          <w:p w14:paraId="78830B5D"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6.7 </w:t>
            </w:r>
            <w:r w:rsidRPr="00C40718">
              <w:rPr>
                <w:sz w:val="20"/>
                <w:szCs w:val="20"/>
              </w:rPr>
              <w:t>±</w:t>
            </w:r>
            <w:r>
              <w:rPr>
                <w:sz w:val="20"/>
                <w:szCs w:val="20"/>
              </w:rPr>
              <w:t xml:space="preserve"> 2.7</w:t>
            </w:r>
          </w:p>
        </w:tc>
        <w:tc>
          <w:tcPr>
            <w:tcW w:w="1000" w:type="pct"/>
            <w:tcBorders>
              <w:top w:val="nil"/>
              <w:bottom w:val="nil"/>
              <w:right w:val="nil"/>
            </w:tcBorders>
            <w:vAlign w:val="center"/>
          </w:tcPr>
          <w:p w14:paraId="5657DECD"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6.3 </w:t>
            </w:r>
            <w:r w:rsidRPr="00C40718">
              <w:rPr>
                <w:sz w:val="20"/>
                <w:szCs w:val="20"/>
              </w:rPr>
              <w:t>±</w:t>
            </w:r>
            <w:r>
              <w:rPr>
                <w:sz w:val="20"/>
                <w:szCs w:val="20"/>
              </w:rPr>
              <w:t xml:space="preserve"> 2.3</w:t>
            </w:r>
          </w:p>
        </w:tc>
      </w:tr>
      <w:tr w:rsidR="005D7150" w:rsidRPr="005762D5" w14:paraId="3B41BF77" w14:textId="77777777" w:rsidTr="00181211">
        <w:trPr>
          <w:trHeight w:val="340"/>
        </w:trPr>
        <w:tc>
          <w:tcPr>
            <w:tcW w:w="999" w:type="pct"/>
            <w:tcBorders>
              <w:top w:val="nil"/>
              <w:left w:val="nil"/>
              <w:bottom w:val="nil"/>
            </w:tcBorders>
            <w:vAlign w:val="center"/>
          </w:tcPr>
          <w:p w14:paraId="40AC8202" w14:textId="77777777" w:rsidR="005D7150" w:rsidRDefault="005D7150" w:rsidP="00181211">
            <w:pPr>
              <w:spacing w:line="276" w:lineRule="auto"/>
              <w:rPr>
                <w:rFonts w:cs="Arial"/>
                <w:color w:val="000000" w:themeColor="text1"/>
                <w:sz w:val="20"/>
                <w:szCs w:val="20"/>
              </w:rPr>
            </w:pPr>
            <w:r>
              <w:rPr>
                <w:rFonts w:cs="Arial"/>
                <w:color w:val="000000" w:themeColor="text1"/>
                <w:sz w:val="20"/>
                <w:szCs w:val="20"/>
              </w:rPr>
              <w:t>EUW1</w:t>
            </w:r>
          </w:p>
        </w:tc>
        <w:tc>
          <w:tcPr>
            <w:tcW w:w="1002" w:type="pct"/>
            <w:tcBorders>
              <w:top w:val="nil"/>
              <w:bottom w:val="nil"/>
            </w:tcBorders>
            <w:vAlign w:val="center"/>
          </w:tcPr>
          <w:p w14:paraId="35044CA3"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5.9 </w:t>
            </w:r>
            <w:r w:rsidRPr="00C40718">
              <w:rPr>
                <w:sz w:val="20"/>
                <w:szCs w:val="20"/>
              </w:rPr>
              <w:t>±</w:t>
            </w:r>
            <w:r>
              <w:rPr>
                <w:sz w:val="20"/>
                <w:szCs w:val="20"/>
              </w:rPr>
              <w:t xml:space="preserve"> 1.8</w:t>
            </w:r>
          </w:p>
        </w:tc>
        <w:tc>
          <w:tcPr>
            <w:tcW w:w="999" w:type="pct"/>
            <w:tcBorders>
              <w:top w:val="nil"/>
              <w:bottom w:val="nil"/>
            </w:tcBorders>
            <w:vAlign w:val="center"/>
          </w:tcPr>
          <w:p w14:paraId="00FCCEC1" w14:textId="77777777" w:rsidR="005D7150" w:rsidRPr="001F1864" w:rsidRDefault="005D7150" w:rsidP="00181211">
            <w:pPr>
              <w:spacing w:line="276" w:lineRule="auto"/>
              <w:jc w:val="center"/>
              <w:rPr>
                <w:rFonts w:cs="Arial"/>
                <w:b/>
                <w:bCs/>
                <w:color w:val="000000" w:themeColor="text1"/>
                <w:sz w:val="20"/>
                <w:szCs w:val="20"/>
              </w:rPr>
            </w:pPr>
            <w:r>
              <w:rPr>
                <w:rFonts w:cs="Arial"/>
                <w:color w:val="000000" w:themeColor="text1"/>
                <w:sz w:val="20"/>
                <w:szCs w:val="20"/>
              </w:rPr>
              <w:t xml:space="preserve">6.9 </w:t>
            </w:r>
            <w:r w:rsidRPr="00C40718">
              <w:rPr>
                <w:sz w:val="20"/>
                <w:szCs w:val="20"/>
              </w:rPr>
              <w:t>±</w:t>
            </w:r>
            <w:r>
              <w:rPr>
                <w:sz w:val="20"/>
                <w:szCs w:val="20"/>
              </w:rPr>
              <w:t xml:space="preserve"> 2.2</w:t>
            </w:r>
          </w:p>
        </w:tc>
        <w:tc>
          <w:tcPr>
            <w:tcW w:w="1000" w:type="pct"/>
            <w:tcBorders>
              <w:top w:val="nil"/>
              <w:bottom w:val="nil"/>
            </w:tcBorders>
            <w:vAlign w:val="center"/>
          </w:tcPr>
          <w:p w14:paraId="7D9464CD"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5.4 </w:t>
            </w:r>
            <w:r w:rsidRPr="00C40718">
              <w:rPr>
                <w:sz w:val="20"/>
                <w:szCs w:val="20"/>
              </w:rPr>
              <w:t>±</w:t>
            </w:r>
            <w:r>
              <w:rPr>
                <w:sz w:val="20"/>
                <w:szCs w:val="20"/>
              </w:rPr>
              <w:t xml:space="preserve"> 2.2</w:t>
            </w:r>
          </w:p>
        </w:tc>
        <w:tc>
          <w:tcPr>
            <w:tcW w:w="1000" w:type="pct"/>
            <w:tcBorders>
              <w:top w:val="nil"/>
              <w:bottom w:val="nil"/>
              <w:right w:val="nil"/>
            </w:tcBorders>
            <w:vAlign w:val="center"/>
          </w:tcPr>
          <w:p w14:paraId="40EC107F"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4.9 </w:t>
            </w:r>
            <w:r w:rsidRPr="00C40718">
              <w:rPr>
                <w:sz w:val="20"/>
                <w:szCs w:val="20"/>
              </w:rPr>
              <w:t>±</w:t>
            </w:r>
            <w:r>
              <w:rPr>
                <w:sz w:val="20"/>
                <w:szCs w:val="20"/>
              </w:rPr>
              <w:t xml:space="preserve"> 1.3</w:t>
            </w:r>
          </w:p>
        </w:tc>
      </w:tr>
      <w:tr w:rsidR="005D7150" w:rsidRPr="005762D5" w14:paraId="0F51A577" w14:textId="77777777" w:rsidTr="00181211">
        <w:trPr>
          <w:trHeight w:val="340"/>
        </w:trPr>
        <w:tc>
          <w:tcPr>
            <w:tcW w:w="999" w:type="pct"/>
            <w:tcBorders>
              <w:top w:val="nil"/>
              <w:left w:val="nil"/>
              <w:bottom w:val="single" w:sz="12" w:space="0" w:color="auto"/>
            </w:tcBorders>
            <w:vAlign w:val="center"/>
          </w:tcPr>
          <w:p w14:paraId="645AFE36" w14:textId="77777777" w:rsidR="005D7150" w:rsidRDefault="005D7150" w:rsidP="00181211">
            <w:pPr>
              <w:spacing w:line="276" w:lineRule="auto"/>
              <w:rPr>
                <w:rFonts w:cs="Arial"/>
                <w:color w:val="000000" w:themeColor="text1"/>
                <w:sz w:val="20"/>
                <w:szCs w:val="20"/>
              </w:rPr>
            </w:pPr>
            <w:r>
              <w:rPr>
                <w:rFonts w:cs="Arial"/>
                <w:color w:val="000000" w:themeColor="text1"/>
                <w:sz w:val="20"/>
                <w:szCs w:val="20"/>
              </w:rPr>
              <w:t>VN2</w:t>
            </w:r>
          </w:p>
        </w:tc>
        <w:tc>
          <w:tcPr>
            <w:tcW w:w="1002" w:type="pct"/>
            <w:tcBorders>
              <w:top w:val="nil"/>
              <w:bottom w:val="single" w:sz="12" w:space="0" w:color="auto"/>
            </w:tcBorders>
            <w:vAlign w:val="center"/>
          </w:tcPr>
          <w:p w14:paraId="11D7507C"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7.0 </w:t>
            </w:r>
            <w:r w:rsidRPr="00C40718">
              <w:rPr>
                <w:sz w:val="20"/>
                <w:szCs w:val="20"/>
              </w:rPr>
              <w:t>±</w:t>
            </w:r>
            <w:r>
              <w:rPr>
                <w:sz w:val="20"/>
                <w:szCs w:val="20"/>
              </w:rPr>
              <w:t xml:space="preserve"> 1.9</w:t>
            </w:r>
          </w:p>
        </w:tc>
        <w:tc>
          <w:tcPr>
            <w:tcW w:w="999" w:type="pct"/>
            <w:tcBorders>
              <w:top w:val="nil"/>
              <w:bottom w:val="single" w:sz="12" w:space="0" w:color="auto"/>
            </w:tcBorders>
            <w:vAlign w:val="center"/>
          </w:tcPr>
          <w:p w14:paraId="0C3769FC"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6.9 </w:t>
            </w:r>
            <w:r w:rsidRPr="00C40718">
              <w:rPr>
                <w:sz w:val="20"/>
                <w:szCs w:val="20"/>
              </w:rPr>
              <w:t>±</w:t>
            </w:r>
            <w:r>
              <w:rPr>
                <w:sz w:val="20"/>
                <w:szCs w:val="20"/>
              </w:rPr>
              <w:t xml:space="preserve"> 3.1</w:t>
            </w:r>
          </w:p>
        </w:tc>
        <w:tc>
          <w:tcPr>
            <w:tcW w:w="1000" w:type="pct"/>
            <w:tcBorders>
              <w:top w:val="nil"/>
              <w:bottom w:val="single" w:sz="12" w:space="0" w:color="auto"/>
            </w:tcBorders>
            <w:vAlign w:val="center"/>
          </w:tcPr>
          <w:p w14:paraId="44E9A038"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5.0 </w:t>
            </w:r>
            <w:r w:rsidRPr="00C40718">
              <w:rPr>
                <w:sz w:val="20"/>
                <w:szCs w:val="20"/>
              </w:rPr>
              <w:t>±</w:t>
            </w:r>
            <w:r>
              <w:rPr>
                <w:sz w:val="20"/>
                <w:szCs w:val="20"/>
              </w:rPr>
              <w:t xml:space="preserve"> 1.4</w:t>
            </w:r>
          </w:p>
        </w:tc>
        <w:tc>
          <w:tcPr>
            <w:tcW w:w="1000" w:type="pct"/>
            <w:tcBorders>
              <w:top w:val="nil"/>
              <w:bottom w:val="single" w:sz="12" w:space="0" w:color="auto"/>
              <w:right w:val="nil"/>
            </w:tcBorders>
            <w:vAlign w:val="center"/>
          </w:tcPr>
          <w:p w14:paraId="51B45C9C" w14:textId="77777777" w:rsidR="005D7150" w:rsidRPr="005762D5" w:rsidRDefault="005D7150" w:rsidP="00181211">
            <w:pPr>
              <w:spacing w:line="276" w:lineRule="auto"/>
              <w:jc w:val="center"/>
              <w:rPr>
                <w:rFonts w:cs="Arial"/>
                <w:color w:val="000000" w:themeColor="text1"/>
                <w:sz w:val="20"/>
                <w:szCs w:val="20"/>
              </w:rPr>
            </w:pPr>
            <w:r>
              <w:rPr>
                <w:rFonts w:cs="Arial"/>
                <w:color w:val="000000" w:themeColor="text1"/>
                <w:sz w:val="20"/>
                <w:szCs w:val="20"/>
              </w:rPr>
              <w:t xml:space="preserve">4.8 </w:t>
            </w:r>
            <w:r w:rsidRPr="00C40718">
              <w:rPr>
                <w:sz w:val="20"/>
                <w:szCs w:val="20"/>
              </w:rPr>
              <w:t>±</w:t>
            </w:r>
            <w:r>
              <w:rPr>
                <w:sz w:val="20"/>
                <w:szCs w:val="20"/>
              </w:rPr>
              <w:t xml:space="preserve"> 1.8</w:t>
            </w:r>
          </w:p>
        </w:tc>
      </w:tr>
      <w:tr w:rsidR="005D7150" w:rsidRPr="005762D5" w14:paraId="67C23642" w14:textId="77777777" w:rsidTr="00181211">
        <w:trPr>
          <w:trHeight w:val="340"/>
        </w:trPr>
        <w:tc>
          <w:tcPr>
            <w:tcW w:w="5000" w:type="pct"/>
            <w:gridSpan w:val="5"/>
            <w:tcBorders>
              <w:top w:val="single" w:sz="12" w:space="0" w:color="auto"/>
              <w:left w:val="nil"/>
              <w:bottom w:val="single" w:sz="12" w:space="0" w:color="auto"/>
              <w:right w:val="nil"/>
            </w:tcBorders>
            <w:vAlign w:val="center"/>
          </w:tcPr>
          <w:p w14:paraId="4A458312" w14:textId="77777777" w:rsidR="005D7150" w:rsidRPr="005762D5" w:rsidRDefault="005D7150" w:rsidP="00181211">
            <w:pPr>
              <w:spacing w:line="276" w:lineRule="auto"/>
              <w:rPr>
                <w:rFonts w:cs="Arial"/>
                <w:color w:val="000000" w:themeColor="text1"/>
                <w:sz w:val="20"/>
                <w:szCs w:val="20"/>
              </w:rPr>
            </w:pPr>
            <w:r>
              <w:rPr>
                <w:rFonts w:cs="Arial"/>
                <w:b/>
                <w:bCs/>
                <w:color w:val="000000" w:themeColor="text1"/>
                <w:sz w:val="20"/>
                <w:szCs w:val="20"/>
              </w:rPr>
              <w:t xml:space="preserve">Note: </w:t>
            </w:r>
            <w:r w:rsidRPr="00025CF4">
              <w:rPr>
                <w:rFonts w:cs="Arial"/>
                <w:color w:val="000000" w:themeColor="text1"/>
                <w:sz w:val="20"/>
                <w:szCs w:val="20"/>
              </w:rPr>
              <w:t>Brazil, NA1 = North America, JP1 = Japan, KR = Republic of Korea, EUW1 = Europe West, RU = Russia, SG2 = Singapore, Malaysia, and Indonesia, VN2 = Vietnam</w:t>
            </w:r>
          </w:p>
        </w:tc>
      </w:tr>
    </w:tbl>
    <w:p w14:paraId="2A6C64E2" w14:textId="77777777" w:rsidR="004611E9" w:rsidRDefault="0005283A" w:rsidP="00EC6B28">
      <w:r>
        <w:tab/>
      </w:r>
    </w:p>
    <w:p w14:paraId="3C67FBC4" w14:textId="5DEB641C" w:rsidR="00B72BB9" w:rsidRDefault="007A17B9" w:rsidP="004611E9">
      <w:pPr>
        <w:ind w:firstLine="720"/>
      </w:pPr>
      <w:r w:rsidRPr="00646BB5">
        <w:t>The average r</w:t>
      </w:r>
      <w:r w:rsidR="00086485" w:rsidRPr="00646BB5">
        <w:t>anked solo</w:t>
      </w:r>
      <w:r w:rsidR="000E76D2" w:rsidRPr="00646BB5">
        <w:t>/duo</w:t>
      </w:r>
      <w:r w:rsidR="00086485" w:rsidRPr="00646BB5">
        <w:t xml:space="preserve"> </w:t>
      </w:r>
      <w:r w:rsidR="000E76D2" w:rsidRPr="00646BB5">
        <w:t>queue</w:t>
      </w:r>
      <w:r w:rsidR="00086485" w:rsidRPr="00646BB5">
        <w:t xml:space="preserve"> </w:t>
      </w:r>
      <w:r w:rsidR="0020583C" w:rsidRPr="00646BB5">
        <w:t>match</w:t>
      </w:r>
      <w:r w:rsidR="00086485" w:rsidRPr="00646BB5">
        <w:t xml:space="preserve"> </w:t>
      </w:r>
      <w:r w:rsidRPr="00646BB5">
        <w:t xml:space="preserve">was </w:t>
      </w:r>
      <w:r w:rsidR="00086485" w:rsidRPr="00646BB5">
        <w:t xml:space="preserve">at least 20 minutes, irrespective of </w:t>
      </w:r>
      <w:r w:rsidR="00CB6B66" w:rsidRPr="00646BB5">
        <w:t>the player</w:t>
      </w:r>
      <w:r w:rsidR="00DA1788">
        <w:t>'</w:t>
      </w:r>
      <w:r w:rsidR="00CB6B66" w:rsidRPr="00646BB5">
        <w:t>s</w:t>
      </w:r>
      <w:r w:rsidR="00086485" w:rsidRPr="00646BB5">
        <w:t xml:space="preserve"> tier or server</w:t>
      </w:r>
      <w:r w:rsidR="00B72BB9" w:rsidRPr="00646BB5">
        <w:t xml:space="preserve"> (Figure </w:t>
      </w:r>
      <w:r w:rsidR="005628A2" w:rsidRPr="00646BB5">
        <w:t>1b</w:t>
      </w:r>
      <w:r w:rsidR="00B72BB9" w:rsidRPr="00646BB5">
        <w:t>)</w:t>
      </w:r>
      <w:r w:rsidR="00CB6B66" w:rsidRPr="00646BB5">
        <w:t xml:space="preserve">. </w:t>
      </w:r>
      <w:r w:rsidR="00B72BB9" w:rsidRPr="00646BB5">
        <w:t xml:space="preserve">Average match durations were similar across tiers, with slightly </w:t>
      </w:r>
      <w:r w:rsidR="00B72BB9" w:rsidRPr="00814617">
        <w:t xml:space="preserve">shorter durations in the Challenger tier (25.4 ± </w:t>
      </w:r>
      <w:r w:rsidR="00A66E98" w:rsidRPr="00814617">
        <w:t>1.2</w:t>
      </w:r>
      <w:r w:rsidR="00B72BB9" w:rsidRPr="00814617">
        <w:t xml:space="preserve"> min vs. 25.</w:t>
      </w:r>
      <w:r w:rsidR="00646BB5" w:rsidRPr="00814617">
        <w:t>5</w:t>
      </w:r>
      <w:r w:rsidR="00B72BB9" w:rsidRPr="00814617">
        <w:t xml:space="preserve"> ± </w:t>
      </w:r>
      <w:r w:rsidR="00646BB5" w:rsidRPr="00814617">
        <w:t>1.2</w:t>
      </w:r>
      <w:r w:rsidR="00B72BB9" w:rsidRPr="00814617">
        <w:t xml:space="preserve">, 26.1 ± </w:t>
      </w:r>
      <w:r w:rsidR="00646BB5" w:rsidRPr="00814617">
        <w:t>1.2</w:t>
      </w:r>
      <w:r w:rsidR="00B72BB9" w:rsidRPr="00814617">
        <w:t>, 27.</w:t>
      </w:r>
      <w:r w:rsidR="00646BB5" w:rsidRPr="00814617">
        <w:t>5</w:t>
      </w:r>
      <w:r w:rsidR="00B72BB9" w:rsidRPr="00814617">
        <w:t xml:space="preserve"> ± </w:t>
      </w:r>
      <w:r w:rsidR="00646BB5" w:rsidRPr="00814617">
        <w:t>1.1</w:t>
      </w:r>
      <w:r w:rsidR="00B72BB9" w:rsidRPr="00814617">
        <w:t xml:space="preserve"> mins, for Grandmaster, Master, and Emerald tiers, respectively). The average match durations were somewhat longer in </w:t>
      </w:r>
      <w:r w:rsidR="007E6B32" w:rsidRPr="00814617">
        <w:t xml:space="preserve">relatively </w:t>
      </w:r>
      <w:r w:rsidR="00B72BB9" w:rsidRPr="00814617">
        <w:t xml:space="preserve">small (26.6 ± </w:t>
      </w:r>
      <w:r w:rsidR="00814617" w:rsidRPr="00814617">
        <w:t>1.2</w:t>
      </w:r>
      <w:r w:rsidR="00B72BB9" w:rsidRPr="00814617">
        <w:t xml:space="preserve"> mins) than in </w:t>
      </w:r>
      <w:r w:rsidR="007E6B32" w:rsidRPr="00814617">
        <w:t xml:space="preserve">relatively </w:t>
      </w:r>
      <w:r w:rsidR="00B72BB9" w:rsidRPr="00814617">
        <w:t>large (25.7 ± 1.</w:t>
      </w:r>
      <w:r w:rsidR="00814617" w:rsidRPr="00814617">
        <w:t>5</w:t>
      </w:r>
      <w:r w:rsidR="00B72BB9" w:rsidRPr="00814617">
        <w:t xml:space="preserve"> mins) servers. </w:t>
      </w:r>
    </w:p>
    <w:p w14:paraId="1923C5FA" w14:textId="53BC6EDD" w:rsidR="00B72BB9" w:rsidRPr="00DA1788" w:rsidRDefault="00323904" w:rsidP="00831DEC">
      <w:pPr>
        <w:pStyle w:val="Heading3"/>
        <w:rPr>
          <w:b/>
          <w:bCs/>
        </w:rPr>
      </w:pPr>
      <w:r w:rsidRPr="00DA1788">
        <w:rPr>
          <w:b/>
          <w:bCs/>
        </w:rPr>
        <w:t>Total practice hours</w:t>
      </w:r>
      <w:r w:rsidR="00B72BB9" w:rsidRPr="00DA1788">
        <w:rPr>
          <w:b/>
          <w:bCs/>
        </w:rPr>
        <w:t xml:space="preserve"> </w:t>
      </w:r>
    </w:p>
    <w:p w14:paraId="4512A63E" w14:textId="6390B7C8" w:rsidR="00EB1105" w:rsidRDefault="00B72BB9" w:rsidP="00B72BB9">
      <w:r>
        <w:tab/>
      </w:r>
      <w:r w:rsidR="00680353" w:rsidRPr="000F6314">
        <w:t>Challenger players had the highest volume of practice in</w:t>
      </w:r>
      <w:r w:rsidR="008D4970" w:rsidRPr="000F6314">
        <w:t xml:space="preserve"> six out of the eight </w:t>
      </w:r>
      <w:r w:rsidR="006C1CA3" w:rsidRPr="000F6314">
        <w:t>servers</w:t>
      </w:r>
      <w:r w:rsidR="008D4970" w:rsidRPr="000F6314">
        <w:t xml:space="preserve"> (Figure 2a). </w:t>
      </w:r>
      <w:r w:rsidR="007A5649" w:rsidRPr="000F6314">
        <w:t xml:space="preserve">The average total practice hours for Challenger, Grandmaster, Master, and Emerald I players </w:t>
      </w:r>
      <w:r w:rsidR="00730E61" w:rsidRPr="000F6314">
        <w:t>were</w:t>
      </w:r>
      <w:r w:rsidR="00CF2F0D" w:rsidRPr="000F6314">
        <w:t xml:space="preserve"> </w:t>
      </w:r>
      <w:r w:rsidR="00D3123E" w:rsidRPr="000F6314">
        <w:t>1.9</w:t>
      </w:r>
      <w:r w:rsidR="00730E61" w:rsidRPr="000F6314">
        <w:t>8</w:t>
      </w:r>
      <w:r w:rsidR="00D3123E" w:rsidRPr="000F6314">
        <w:t xml:space="preserve"> ± 0.</w:t>
      </w:r>
      <w:r w:rsidR="00730E61" w:rsidRPr="000F6314">
        <w:t>88</w:t>
      </w:r>
      <w:r w:rsidR="00D3123E" w:rsidRPr="000F6314">
        <w:t>, 1.8</w:t>
      </w:r>
      <w:r w:rsidR="00730E61" w:rsidRPr="000F6314">
        <w:t>3</w:t>
      </w:r>
      <w:r w:rsidR="00D3123E" w:rsidRPr="000F6314">
        <w:t xml:space="preserve"> ± </w:t>
      </w:r>
      <w:r w:rsidR="00730E61" w:rsidRPr="000F6314">
        <w:t>1.00</w:t>
      </w:r>
      <w:r w:rsidR="00D3123E" w:rsidRPr="000F6314">
        <w:t>, 1.4</w:t>
      </w:r>
      <w:r w:rsidR="003E5837" w:rsidRPr="000F6314">
        <w:t>8</w:t>
      </w:r>
      <w:r w:rsidR="00D3123E" w:rsidRPr="000F6314">
        <w:t xml:space="preserve"> ± 0.</w:t>
      </w:r>
      <w:r w:rsidR="003E5837" w:rsidRPr="000F6314">
        <w:t>93</w:t>
      </w:r>
      <w:r w:rsidR="00D3123E" w:rsidRPr="000F6314">
        <w:t>, and 1.40 ±</w:t>
      </w:r>
      <w:r w:rsidR="006C1CA3" w:rsidRPr="000F6314">
        <w:t xml:space="preserve"> 0.</w:t>
      </w:r>
      <w:r w:rsidR="003E5837" w:rsidRPr="000F6314">
        <w:t>83</w:t>
      </w:r>
      <w:r w:rsidR="006C1CA3" w:rsidRPr="000F6314">
        <w:t xml:space="preserve"> h, respectively. </w:t>
      </w:r>
      <w:r w:rsidR="002A2DCE" w:rsidRPr="000F6314">
        <w:t>The average total practice hours per day</w:t>
      </w:r>
      <w:r w:rsidR="004C0A8E" w:rsidRPr="000F6314">
        <w:t xml:space="preserve"> was slightly longer in relatively large than small servers (1.</w:t>
      </w:r>
      <w:r w:rsidR="006B38D7" w:rsidRPr="000F6314">
        <w:t>7</w:t>
      </w:r>
      <w:r w:rsidR="000F6314" w:rsidRPr="000F6314">
        <w:t>7</w:t>
      </w:r>
      <w:r w:rsidR="0070146C" w:rsidRPr="000F6314">
        <w:t xml:space="preserve"> ± </w:t>
      </w:r>
      <w:r w:rsidR="0080417D" w:rsidRPr="000F6314">
        <w:t>0.</w:t>
      </w:r>
      <w:r w:rsidR="000F6314" w:rsidRPr="000F6314">
        <w:t>95</w:t>
      </w:r>
      <w:r w:rsidR="0070146C" w:rsidRPr="000F6314">
        <w:t xml:space="preserve"> vs. 1.5</w:t>
      </w:r>
      <w:r w:rsidR="000F6314" w:rsidRPr="000F6314">
        <w:t>6</w:t>
      </w:r>
      <w:r w:rsidR="0070146C" w:rsidRPr="000F6314">
        <w:t xml:space="preserve"> ± Y </w:t>
      </w:r>
      <w:r w:rsidR="0080417D" w:rsidRPr="000F6314">
        <w:t>0.</w:t>
      </w:r>
      <w:r w:rsidR="000F6314" w:rsidRPr="000F6314">
        <w:t>92</w:t>
      </w:r>
      <w:r w:rsidR="0080417D" w:rsidRPr="000F6314">
        <w:t xml:space="preserve"> h</w:t>
      </w:r>
      <w:r w:rsidR="0070146C" w:rsidRPr="000F6314">
        <w:t xml:space="preserve">). </w:t>
      </w:r>
    </w:p>
    <w:p w14:paraId="75506C8C" w14:textId="27014C9B" w:rsidR="00B72BB9" w:rsidRDefault="00B72BB9" w:rsidP="00CD3056">
      <w:pPr>
        <w:ind w:firstLine="720"/>
      </w:pPr>
      <w:r>
        <w:t xml:space="preserve">There was substantial variability within ranked practice hours per day (Figure </w:t>
      </w:r>
      <w:r w:rsidR="0080417D">
        <w:t>2b</w:t>
      </w:r>
      <w:r>
        <w:t xml:space="preserve">). Generally, Challenger players had the lowest variability in ranked practice, with </w:t>
      </w:r>
      <w:r w:rsidR="00D26F42">
        <w:t xml:space="preserve">a pooled </w:t>
      </w:r>
      <w:r>
        <w:t>coefficient of variation</w:t>
      </w:r>
      <w:r w:rsidR="00D26F42">
        <w:t xml:space="preserve"> of 44.6%. This was lower than </w:t>
      </w:r>
      <w:r w:rsidR="00B11441">
        <w:t>Grandmaster (54.6%), Master (</w:t>
      </w:r>
      <w:r w:rsidR="008F0B23">
        <w:t xml:space="preserve">62.9%), </w:t>
      </w:r>
      <w:r w:rsidR="008F0B23">
        <w:lastRenderedPageBreak/>
        <w:t xml:space="preserve">and Emerald I (59.3%). </w:t>
      </w:r>
      <w:r>
        <w:t xml:space="preserve">The variability was comparable between </w:t>
      </w:r>
      <w:r w:rsidR="00325E31">
        <w:t xml:space="preserve">relatively </w:t>
      </w:r>
      <w:r w:rsidRPr="00CA56BD">
        <w:t>large (5</w:t>
      </w:r>
      <w:r w:rsidR="00CA56BD" w:rsidRPr="00CA56BD">
        <w:t>4</w:t>
      </w:r>
      <w:r w:rsidRPr="00CA56BD">
        <w:t>.</w:t>
      </w:r>
      <w:r w:rsidR="00CA56BD" w:rsidRPr="00CA56BD">
        <w:t>1%</w:t>
      </w:r>
      <w:r w:rsidRPr="00CA56BD">
        <w:t xml:space="preserve">) and </w:t>
      </w:r>
      <w:r w:rsidRPr="00247200">
        <w:t>small (</w:t>
      </w:r>
      <w:r w:rsidR="00247200" w:rsidRPr="00247200">
        <w:t xml:space="preserve">58.8%) </w:t>
      </w:r>
      <w:r w:rsidRPr="00247200">
        <w:t xml:space="preserve">servers. The lowest variability </w:t>
      </w:r>
      <w:r>
        <w:t xml:space="preserve">existed in the Korean Challenger players group. </w:t>
      </w:r>
    </w:p>
    <w:p w14:paraId="4C25ADA1" w14:textId="77777777" w:rsidR="00E2011D" w:rsidRDefault="00E2011D" w:rsidP="00CD3056">
      <w:pPr>
        <w:ind w:firstLine="720"/>
      </w:pPr>
    </w:p>
    <w:p w14:paraId="25381F84" w14:textId="77777777" w:rsidR="0044656A" w:rsidRDefault="0044656A" w:rsidP="0044656A">
      <w:pPr>
        <w:keepNext/>
        <w:jc w:val="center"/>
      </w:pPr>
      <w:r>
        <w:rPr>
          <w:noProof/>
        </w:rPr>
        <w:drawing>
          <wp:inline distT="0" distB="0" distL="0" distR="0" wp14:anchorId="72FE9A99" wp14:editId="34D57D95">
            <wp:extent cx="5724525" cy="4581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4581525"/>
                    </a:xfrm>
                    <a:prstGeom prst="rect">
                      <a:avLst/>
                    </a:prstGeom>
                    <a:noFill/>
                    <a:ln>
                      <a:noFill/>
                    </a:ln>
                  </pic:spPr>
                </pic:pic>
              </a:graphicData>
            </a:graphic>
          </wp:inline>
        </w:drawing>
      </w:r>
    </w:p>
    <w:p w14:paraId="2E3CEFC8" w14:textId="67E44C97" w:rsidR="00E2011D" w:rsidRPr="00E2011D" w:rsidRDefault="0044656A" w:rsidP="00E2011D">
      <w:pPr>
        <w:pStyle w:val="Caption"/>
      </w:pPr>
      <w:r>
        <w:t xml:space="preserve">Figure </w:t>
      </w:r>
      <w:fldSimple w:instr=" SEQ Figure \* ARABIC ">
        <w:r w:rsidR="00C87D61">
          <w:rPr>
            <w:noProof/>
          </w:rPr>
          <w:t>2</w:t>
        </w:r>
      </w:fldSimple>
      <w:r>
        <w:t>.</w:t>
      </w:r>
    </w:p>
    <w:p w14:paraId="72C7984E" w14:textId="77777777" w:rsidR="00E2011D" w:rsidRDefault="00E2011D" w:rsidP="00E2011D">
      <w:pPr>
        <w:rPr>
          <w:i/>
          <w:iCs/>
        </w:rPr>
      </w:pPr>
      <w:r>
        <w:rPr>
          <w:i/>
          <w:iCs/>
        </w:rPr>
        <w:t xml:space="preserve">The a) average ranked solo/duo queue practice hours per day and the b) associated variability based on server and tier. </w:t>
      </w:r>
    </w:p>
    <w:p w14:paraId="6E2AE191" w14:textId="77777777" w:rsidR="00E2011D" w:rsidRDefault="00E2011D" w:rsidP="00E2011D">
      <w:pPr>
        <w:rPr>
          <w:b/>
          <w:bCs/>
        </w:rPr>
      </w:pPr>
      <w:r>
        <w:rPr>
          <w:i/>
          <w:iCs/>
        </w:rPr>
        <w:t xml:space="preserve">Note. </w:t>
      </w:r>
      <w:r>
        <w:t xml:space="preserve">BR1 = Brazil, JP1 = Japan, RU = Russia, SG2 = Singapore, Malaysia, and Indonesia, NA1 = North America, KR = Korea, EUW1 = Europe West, VN2 = Vietnam. </w:t>
      </w:r>
      <w:r>
        <w:rPr>
          <w:i/>
          <w:iCs/>
        </w:rPr>
        <w:t xml:space="preserve"> </w:t>
      </w:r>
      <w:r w:rsidRPr="00915FCD">
        <w:rPr>
          <w:b/>
          <w:bCs/>
        </w:rPr>
        <w:t xml:space="preserve"> </w:t>
      </w:r>
    </w:p>
    <w:p w14:paraId="7453FC3E" w14:textId="77777777" w:rsidR="0044656A" w:rsidRPr="00B72BB9" w:rsidRDefault="0044656A" w:rsidP="0044656A">
      <w:pPr>
        <w:ind w:firstLine="720"/>
        <w:jc w:val="center"/>
      </w:pPr>
    </w:p>
    <w:p w14:paraId="1551A5F8" w14:textId="48F0E221" w:rsidR="00B72BB9" w:rsidRPr="00DA1788" w:rsidRDefault="00B72BB9" w:rsidP="00831DEC">
      <w:pPr>
        <w:pStyle w:val="Heading3"/>
        <w:rPr>
          <w:b/>
          <w:bCs/>
        </w:rPr>
      </w:pPr>
      <w:r w:rsidRPr="00DA1788">
        <w:rPr>
          <w:b/>
          <w:bCs/>
        </w:rPr>
        <w:t>Practice behaviours</w:t>
      </w:r>
    </w:p>
    <w:p w14:paraId="0C10F6BF" w14:textId="2E3B465A" w:rsidR="00BC79FE" w:rsidRPr="003B78B3" w:rsidRDefault="00B72BB9" w:rsidP="00BA3C58">
      <w:r>
        <w:tab/>
        <w:t xml:space="preserve">Most players within the sample </w:t>
      </w:r>
      <w:r w:rsidR="00325E31">
        <w:t>spent</w:t>
      </w:r>
      <w:r>
        <w:t xml:space="preserve"> approximately two weeks playing at least one </w:t>
      </w:r>
      <w:r w:rsidR="004A0089">
        <w:t xml:space="preserve">ranked solo/due queue </w:t>
      </w:r>
      <w:r>
        <w:t xml:space="preserve">match </w:t>
      </w:r>
      <w:r w:rsidR="00011B27">
        <w:t>per</w:t>
      </w:r>
      <w:r>
        <w:t xml:space="preserve"> day</w:t>
      </w:r>
      <w:r w:rsidR="006869BC">
        <w:t xml:space="preserve"> (Table 3)</w:t>
      </w:r>
      <w:r>
        <w:t>. In some instances, the number of days with at least one game reached 25</w:t>
      </w:r>
      <w:r w:rsidR="0023526E">
        <w:t xml:space="preserve"> in North American players</w:t>
      </w:r>
      <w:r>
        <w:t xml:space="preserve">. </w:t>
      </w:r>
      <w:r w:rsidR="00872D0D">
        <w:t>The greatest</w:t>
      </w:r>
      <w:r w:rsidR="00980D0B">
        <w:t xml:space="preserve"> </w:t>
      </w:r>
      <w:r>
        <w:t xml:space="preserve">number of days </w:t>
      </w:r>
      <w:r>
        <w:lastRenderedPageBreak/>
        <w:t>without a match was</w:t>
      </w:r>
      <w:r w:rsidR="00BC79FE">
        <w:t xml:space="preserve"> comparatively</w:t>
      </w:r>
      <w:r>
        <w:t xml:space="preserve"> lower, with a</w:t>
      </w:r>
      <w:r w:rsidR="00872D0D">
        <w:t>n average value</w:t>
      </w:r>
      <w:r>
        <w:t xml:space="preserve"> rang</w:t>
      </w:r>
      <w:r w:rsidR="00872D0D">
        <w:t>ing</w:t>
      </w:r>
      <w:r>
        <w:t xml:space="preserve"> </w:t>
      </w:r>
      <w:r w:rsidR="00872D0D" w:rsidRPr="00872D0D">
        <w:t>between</w:t>
      </w:r>
      <w:r w:rsidRPr="00872D0D">
        <w:t xml:space="preserve"> 3.1 </w:t>
      </w:r>
      <w:r w:rsidR="00AA4A22">
        <w:t>and</w:t>
      </w:r>
      <w:r w:rsidRPr="00872D0D">
        <w:t xml:space="preserve"> 6.1 across servers </w:t>
      </w:r>
      <w:r>
        <w:t xml:space="preserve">and tiers. </w:t>
      </w:r>
      <w:r w:rsidR="007A3D8C">
        <w:t xml:space="preserve">The </w:t>
      </w:r>
      <w:r w:rsidR="007435E8">
        <w:t xml:space="preserve">average of </w:t>
      </w:r>
      <w:r w:rsidR="00D01420">
        <w:t>most</w:t>
      </w:r>
      <w:r w:rsidR="007A3D8C">
        <w:t xml:space="preserve"> days without a match increased as tier </w:t>
      </w:r>
      <w:r w:rsidR="007A3D8C" w:rsidRPr="004868A0">
        <w:t xml:space="preserve">decreased (Challenger = 4.0 ± </w:t>
      </w:r>
      <w:r w:rsidR="00CD6575" w:rsidRPr="004868A0">
        <w:t>2.0</w:t>
      </w:r>
      <w:r w:rsidR="007A3D8C" w:rsidRPr="004868A0">
        <w:t>, Grandmaster</w:t>
      </w:r>
      <w:r w:rsidR="004F38FB" w:rsidRPr="004868A0">
        <w:t xml:space="preserve"> = 4.4 ± </w:t>
      </w:r>
      <w:r w:rsidR="00CD6575" w:rsidRPr="004868A0">
        <w:t>2.1</w:t>
      </w:r>
      <w:r w:rsidR="004F38FB" w:rsidRPr="004868A0">
        <w:t xml:space="preserve">, Master = 5.2 ± </w:t>
      </w:r>
      <w:r w:rsidR="004868A0" w:rsidRPr="004868A0">
        <w:t>2.0</w:t>
      </w:r>
      <w:r w:rsidR="004F38FB" w:rsidRPr="004868A0">
        <w:t>, Emerald</w:t>
      </w:r>
      <w:r w:rsidR="00512A73" w:rsidRPr="004868A0">
        <w:t xml:space="preserve"> I</w:t>
      </w:r>
      <w:r w:rsidR="004F38FB" w:rsidRPr="004868A0">
        <w:t xml:space="preserve"> = 5.3 ± </w:t>
      </w:r>
      <w:r w:rsidR="004868A0" w:rsidRPr="004868A0">
        <w:t>1.9</w:t>
      </w:r>
      <w:r w:rsidR="004F38FB" w:rsidRPr="004868A0">
        <w:t xml:space="preserve">). </w:t>
      </w:r>
      <w:r w:rsidR="00581171" w:rsidRPr="003B78B3">
        <w:t xml:space="preserve">The </w:t>
      </w:r>
      <w:r w:rsidR="00C04137" w:rsidRPr="003B78B3">
        <w:t xml:space="preserve">average </w:t>
      </w:r>
      <w:r w:rsidR="001A4C6A" w:rsidRPr="003B78B3">
        <w:t xml:space="preserve">of </w:t>
      </w:r>
      <w:r w:rsidR="00C04137" w:rsidRPr="003B78B3">
        <w:t>most</w:t>
      </w:r>
      <w:r w:rsidR="00581171" w:rsidRPr="003B78B3">
        <w:t xml:space="preserve"> days without a match was similar between relatively large and small servers (4.</w:t>
      </w:r>
      <w:r w:rsidR="003B78B3" w:rsidRPr="003B78B3">
        <w:t>5</w:t>
      </w:r>
      <w:r w:rsidR="00581171" w:rsidRPr="003B78B3">
        <w:t xml:space="preserve"> ± </w:t>
      </w:r>
      <w:r w:rsidR="003B78B3" w:rsidRPr="003B78B3">
        <w:t>2.0</w:t>
      </w:r>
      <w:r w:rsidR="00581171" w:rsidRPr="003B78B3">
        <w:t xml:space="preserve"> vs. </w:t>
      </w:r>
      <w:r w:rsidR="003B78B3" w:rsidRPr="003B78B3">
        <w:t>4.9</w:t>
      </w:r>
      <w:r w:rsidR="009B3DA8" w:rsidRPr="003B78B3">
        <w:t xml:space="preserve"> ± </w:t>
      </w:r>
      <w:r w:rsidR="003B78B3" w:rsidRPr="003B78B3">
        <w:t>2.1</w:t>
      </w:r>
      <w:r w:rsidR="009B3DA8" w:rsidRPr="003B78B3">
        <w:t xml:space="preserve">). </w:t>
      </w:r>
      <w:r w:rsidR="007A3D8C" w:rsidRPr="003B78B3">
        <w:t xml:space="preserve"> </w:t>
      </w:r>
    </w:p>
    <w:p w14:paraId="67FAAD3C" w14:textId="7538189F" w:rsidR="00E2011D" w:rsidRDefault="00B72BB9" w:rsidP="00FF73C7">
      <w:pPr>
        <w:ind w:firstLine="720"/>
      </w:pPr>
      <w:r>
        <w:t xml:space="preserve">When analysing the matches across three- and seven-day blocks, the total number of matches </w:t>
      </w:r>
      <w:r w:rsidRPr="00215BCA">
        <w:t>reached 34.9</w:t>
      </w:r>
      <w:r w:rsidR="0043530D" w:rsidRPr="00215BCA">
        <w:t xml:space="preserve"> (Japan)</w:t>
      </w:r>
      <w:r w:rsidRPr="00215BCA">
        <w:t xml:space="preserve"> and 58.4</w:t>
      </w:r>
      <w:r w:rsidR="0043530D" w:rsidRPr="00215BCA">
        <w:t xml:space="preserve"> (Singapore, Malaysia, and Indonesia)</w:t>
      </w:r>
      <w:r w:rsidRPr="00215BCA">
        <w:t xml:space="preserve">, respectively. </w:t>
      </w:r>
      <w:r w:rsidR="001C0A1E" w:rsidRPr="00215BCA">
        <w:t xml:space="preserve">Challenger players tended to have the most matches in a three-day </w:t>
      </w:r>
      <w:r w:rsidR="00C6369C" w:rsidRPr="00215BCA">
        <w:t>(32.</w:t>
      </w:r>
      <w:r w:rsidR="004B37A8" w:rsidRPr="00215BCA">
        <w:t>1</w:t>
      </w:r>
      <w:r w:rsidR="00C6369C" w:rsidRPr="00215BCA">
        <w:t xml:space="preserve"> ± </w:t>
      </w:r>
      <w:r w:rsidR="00F13789" w:rsidRPr="00215BCA">
        <w:t>9.7</w:t>
      </w:r>
      <w:r w:rsidR="00C6369C" w:rsidRPr="00215BCA">
        <w:t>)</w:t>
      </w:r>
      <w:r w:rsidR="006526C8" w:rsidRPr="00215BCA">
        <w:t xml:space="preserve"> and seven-day (</w:t>
      </w:r>
      <w:r w:rsidR="0043530D" w:rsidRPr="00215BCA">
        <w:t>53.</w:t>
      </w:r>
      <w:r w:rsidR="00F13789" w:rsidRPr="00215BCA">
        <w:t>7</w:t>
      </w:r>
      <w:r w:rsidR="0043530D" w:rsidRPr="00215BCA">
        <w:t xml:space="preserve"> ± </w:t>
      </w:r>
      <w:r w:rsidR="00F13789" w:rsidRPr="00215BCA">
        <w:t>15.1</w:t>
      </w:r>
      <w:r w:rsidR="0043530D" w:rsidRPr="00215BCA">
        <w:t>)</w:t>
      </w:r>
      <w:r w:rsidR="006526C8" w:rsidRPr="00215BCA">
        <w:t xml:space="preserve"> block</w:t>
      </w:r>
      <w:r w:rsidR="00C6369C" w:rsidRPr="00215BCA">
        <w:t>, and Emerald</w:t>
      </w:r>
      <w:r w:rsidR="00512A73" w:rsidRPr="00215BCA">
        <w:t xml:space="preserve"> I</w:t>
      </w:r>
      <w:r w:rsidR="00C6369C" w:rsidRPr="00215BCA">
        <w:t xml:space="preserve"> players had the least (25.4 ± </w:t>
      </w:r>
      <w:r w:rsidR="00F13789" w:rsidRPr="00215BCA">
        <w:t>8.7</w:t>
      </w:r>
      <w:r w:rsidR="0043530D" w:rsidRPr="00215BCA">
        <w:t xml:space="preserve"> and 4</w:t>
      </w:r>
      <w:r w:rsidR="00215BCA" w:rsidRPr="00215BCA">
        <w:t>2</w:t>
      </w:r>
      <w:r w:rsidR="0043530D" w:rsidRPr="00215BCA">
        <w:t>.</w:t>
      </w:r>
      <w:r w:rsidR="00215BCA" w:rsidRPr="00215BCA">
        <w:t>0</w:t>
      </w:r>
      <w:r w:rsidR="0043530D" w:rsidRPr="00215BCA">
        <w:t xml:space="preserve"> ± </w:t>
      </w:r>
      <w:r w:rsidR="00215BCA" w:rsidRPr="00215BCA">
        <w:t>14.2</w:t>
      </w:r>
      <w:r w:rsidR="0043530D" w:rsidRPr="00215BCA">
        <w:t xml:space="preserve">, </w:t>
      </w:r>
      <w:r w:rsidR="0043530D" w:rsidRPr="003B0913">
        <w:t>respectively</w:t>
      </w:r>
      <w:r w:rsidR="00C6369C" w:rsidRPr="003B0913">
        <w:t xml:space="preserve">). </w:t>
      </w:r>
      <w:r w:rsidR="00257B6E" w:rsidRPr="003B0913">
        <w:t>Three-day</w:t>
      </w:r>
      <w:r w:rsidR="00340064" w:rsidRPr="003B0913">
        <w:t xml:space="preserve"> and seven-day</w:t>
      </w:r>
      <w:r w:rsidR="00257B6E" w:rsidRPr="003B0913">
        <w:t xml:space="preserve"> blocks were </w:t>
      </w:r>
      <w:r w:rsidR="00340064" w:rsidRPr="003B0913">
        <w:t>slightly high</w:t>
      </w:r>
      <w:r w:rsidR="0006252D" w:rsidRPr="003B0913">
        <w:t>er</w:t>
      </w:r>
      <w:r w:rsidR="00257B6E" w:rsidRPr="003B0913">
        <w:t xml:space="preserve"> </w:t>
      </w:r>
      <w:r w:rsidR="0006252D" w:rsidRPr="003B0913">
        <w:t>in</w:t>
      </w:r>
      <w:r w:rsidR="00257B6E" w:rsidRPr="003B0913">
        <w:t xml:space="preserve"> relatively large </w:t>
      </w:r>
      <w:r w:rsidR="0006252D" w:rsidRPr="003B0913">
        <w:t>compared with relatively small</w:t>
      </w:r>
      <w:r w:rsidR="00011B27" w:rsidRPr="003B0913">
        <w:t xml:space="preserve"> servers</w:t>
      </w:r>
      <w:r w:rsidR="0006252D" w:rsidRPr="003B0913">
        <w:t xml:space="preserve"> (29.2 ± </w:t>
      </w:r>
      <w:r w:rsidR="00C82D10" w:rsidRPr="003B0913">
        <w:t>9.8</w:t>
      </w:r>
      <w:r w:rsidR="0006252D" w:rsidRPr="003B0913">
        <w:t xml:space="preserve"> and </w:t>
      </w:r>
      <w:r w:rsidR="006869BC" w:rsidRPr="003B0913">
        <w:t xml:space="preserve">48.5 ± </w:t>
      </w:r>
      <w:r w:rsidR="00C82D10" w:rsidRPr="003B0913">
        <w:t>15.8</w:t>
      </w:r>
      <w:r w:rsidR="006869BC" w:rsidRPr="003B0913">
        <w:t xml:space="preserve"> vs. 28.</w:t>
      </w:r>
      <w:r w:rsidR="00C82D10" w:rsidRPr="003B0913">
        <w:t>4</w:t>
      </w:r>
      <w:r w:rsidR="006869BC" w:rsidRPr="003B0913">
        <w:t xml:space="preserve"> ± </w:t>
      </w:r>
      <w:r w:rsidR="003B0913" w:rsidRPr="003B0913">
        <w:t>9.9</w:t>
      </w:r>
      <w:r w:rsidR="006869BC" w:rsidRPr="003B0913">
        <w:t xml:space="preserve"> and 46.8 ± </w:t>
      </w:r>
      <w:r w:rsidR="003B0913" w:rsidRPr="003B0913">
        <w:t>16.9</w:t>
      </w:r>
      <w:r w:rsidR="006869BC" w:rsidRPr="003B0913">
        <w:t xml:space="preserve">, respectively). </w:t>
      </w:r>
    </w:p>
    <w:p w14:paraId="0415921D" w14:textId="77777777" w:rsidR="00E2011D" w:rsidRDefault="00E2011D">
      <w:pPr>
        <w:spacing w:after="160" w:line="259" w:lineRule="auto"/>
      </w:pPr>
      <w:r>
        <w:br w:type="page"/>
      </w:r>
    </w:p>
    <w:p w14:paraId="0488980D" w14:textId="77777777" w:rsidR="00246B76" w:rsidRDefault="00246B76" w:rsidP="00246B76">
      <w:pPr>
        <w:pStyle w:val="Caption"/>
        <w:keepNext/>
      </w:pPr>
      <w:r>
        <w:lastRenderedPageBreak/>
        <w:t>Table 3.</w:t>
      </w:r>
    </w:p>
    <w:p w14:paraId="073DE146" w14:textId="77777777" w:rsidR="00246B76" w:rsidRPr="00B72BB9" w:rsidRDefault="00246B76" w:rsidP="00246B76">
      <w:pPr>
        <w:rPr>
          <w:i/>
          <w:iCs/>
        </w:rPr>
      </w:pPr>
      <w:r>
        <w:rPr>
          <w:i/>
          <w:iCs/>
        </w:rPr>
        <w:t xml:space="preserve">The practice behaviours of League of Legends players across servers and tiers. </w:t>
      </w:r>
    </w:p>
    <w:tbl>
      <w:tblPr>
        <w:tblStyle w:val="TableGrid"/>
        <w:tblW w:w="5000" w:type="pct"/>
        <w:tblLook w:val="04A0" w:firstRow="1" w:lastRow="0" w:firstColumn="1" w:lastColumn="0" w:noHBand="0" w:noVBand="1"/>
      </w:tblPr>
      <w:tblGrid>
        <w:gridCol w:w="1503"/>
        <w:gridCol w:w="1502"/>
        <w:gridCol w:w="1504"/>
        <w:gridCol w:w="1504"/>
        <w:gridCol w:w="1504"/>
        <w:gridCol w:w="1509"/>
      </w:tblGrid>
      <w:tr w:rsidR="00246B76" w:rsidRPr="00B72BB9" w14:paraId="60D9852C" w14:textId="77777777" w:rsidTr="00181211">
        <w:trPr>
          <w:trHeight w:val="340"/>
        </w:trPr>
        <w:tc>
          <w:tcPr>
            <w:tcW w:w="833" w:type="pct"/>
            <w:tcBorders>
              <w:top w:val="single" w:sz="12" w:space="0" w:color="auto"/>
              <w:left w:val="nil"/>
              <w:bottom w:val="single" w:sz="12" w:space="0" w:color="auto"/>
              <w:right w:val="nil"/>
            </w:tcBorders>
          </w:tcPr>
          <w:p w14:paraId="6BF7F6E5" w14:textId="77777777" w:rsidR="00246B76" w:rsidRPr="00B72BB9" w:rsidRDefault="00246B76" w:rsidP="00181211">
            <w:pPr>
              <w:spacing w:line="276" w:lineRule="auto"/>
              <w:rPr>
                <w:b/>
                <w:bCs/>
                <w:sz w:val="20"/>
                <w:szCs w:val="20"/>
              </w:rPr>
            </w:pPr>
            <w:r w:rsidRPr="00B72BB9">
              <w:rPr>
                <w:b/>
                <w:bCs/>
                <w:sz w:val="20"/>
                <w:szCs w:val="20"/>
              </w:rPr>
              <w:t>Server</w:t>
            </w:r>
          </w:p>
        </w:tc>
        <w:tc>
          <w:tcPr>
            <w:tcW w:w="832" w:type="pct"/>
            <w:tcBorders>
              <w:top w:val="single" w:sz="12" w:space="0" w:color="auto"/>
              <w:left w:val="nil"/>
              <w:bottom w:val="single" w:sz="12" w:space="0" w:color="auto"/>
              <w:right w:val="nil"/>
            </w:tcBorders>
          </w:tcPr>
          <w:p w14:paraId="22C79F70" w14:textId="77777777" w:rsidR="00246B76" w:rsidRPr="00B72BB9" w:rsidRDefault="00246B76" w:rsidP="00181211">
            <w:pPr>
              <w:spacing w:line="276" w:lineRule="auto"/>
              <w:rPr>
                <w:b/>
                <w:bCs/>
                <w:sz w:val="20"/>
                <w:szCs w:val="20"/>
              </w:rPr>
            </w:pPr>
            <w:r>
              <w:rPr>
                <w:b/>
                <w:bCs/>
                <w:sz w:val="20"/>
                <w:szCs w:val="20"/>
              </w:rPr>
              <w:t>Tier</w:t>
            </w:r>
          </w:p>
        </w:tc>
        <w:tc>
          <w:tcPr>
            <w:tcW w:w="833" w:type="pct"/>
            <w:tcBorders>
              <w:top w:val="single" w:sz="12" w:space="0" w:color="auto"/>
              <w:left w:val="nil"/>
              <w:bottom w:val="single" w:sz="12" w:space="0" w:color="auto"/>
              <w:right w:val="nil"/>
            </w:tcBorders>
          </w:tcPr>
          <w:p w14:paraId="5F3C430F" w14:textId="77777777" w:rsidR="00246B76" w:rsidRPr="00B72BB9" w:rsidRDefault="00246B76" w:rsidP="00181211">
            <w:pPr>
              <w:spacing w:line="276" w:lineRule="auto"/>
              <w:jc w:val="center"/>
              <w:rPr>
                <w:b/>
                <w:bCs/>
                <w:sz w:val="20"/>
                <w:szCs w:val="20"/>
              </w:rPr>
            </w:pPr>
            <w:r>
              <w:rPr>
                <w:b/>
                <w:bCs/>
                <w:sz w:val="20"/>
                <w:szCs w:val="20"/>
              </w:rPr>
              <w:t>Days with at least one match</w:t>
            </w:r>
          </w:p>
        </w:tc>
        <w:tc>
          <w:tcPr>
            <w:tcW w:w="833" w:type="pct"/>
            <w:tcBorders>
              <w:top w:val="single" w:sz="12" w:space="0" w:color="auto"/>
              <w:left w:val="nil"/>
              <w:bottom w:val="single" w:sz="12" w:space="0" w:color="auto"/>
              <w:right w:val="nil"/>
            </w:tcBorders>
          </w:tcPr>
          <w:p w14:paraId="25E57935" w14:textId="77777777" w:rsidR="00246B76" w:rsidRDefault="00246B76" w:rsidP="00181211">
            <w:pPr>
              <w:spacing w:line="276" w:lineRule="auto"/>
              <w:jc w:val="center"/>
              <w:rPr>
                <w:b/>
                <w:bCs/>
                <w:sz w:val="20"/>
                <w:szCs w:val="20"/>
              </w:rPr>
            </w:pPr>
            <w:r>
              <w:rPr>
                <w:b/>
                <w:bCs/>
                <w:sz w:val="20"/>
                <w:szCs w:val="20"/>
              </w:rPr>
              <w:t>Most Days without a match</w:t>
            </w:r>
          </w:p>
        </w:tc>
        <w:tc>
          <w:tcPr>
            <w:tcW w:w="833" w:type="pct"/>
            <w:tcBorders>
              <w:top w:val="single" w:sz="12" w:space="0" w:color="auto"/>
              <w:left w:val="nil"/>
              <w:bottom w:val="single" w:sz="12" w:space="0" w:color="auto"/>
              <w:right w:val="nil"/>
            </w:tcBorders>
          </w:tcPr>
          <w:p w14:paraId="6F67A92A" w14:textId="77777777" w:rsidR="00246B76" w:rsidRPr="00B72BB9" w:rsidRDefault="00246B76" w:rsidP="00181211">
            <w:pPr>
              <w:spacing w:line="276" w:lineRule="auto"/>
              <w:jc w:val="center"/>
              <w:rPr>
                <w:b/>
                <w:bCs/>
                <w:sz w:val="20"/>
                <w:szCs w:val="20"/>
              </w:rPr>
            </w:pPr>
            <w:r>
              <w:rPr>
                <w:b/>
                <w:bCs/>
                <w:sz w:val="20"/>
                <w:szCs w:val="20"/>
              </w:rPr>
              <w:t>Most matches in three days</w:t>
            </w:r>
          </w:p>
        </w:tc>
        <w:tc>
          <w:tcPr>
            <w:tcW w:w="836" w:type="pct"/>
            <w:tcBorders>
              <w:top w:val="single" w:sz="12" w:space="0" w:color="auto"/>
              <w:left w:val="nil"/>
              <w:bottom w:val="single" w:sz="12" w:space="0" w:color="auto"/>
              <w:right w:val="nil"/>
            </w:tcBorders>
          </w:tcPr>
          <w:p w14:paraId="76D191F6" w14:textId="77777777" w:rsidR="00246B76" w:rsidRPr="00B72BB9" w:rsidRDefault="00246B76" w:rsidP="00181211">
            <w:pPr>
              <w:spacing w:line="276" w:lineRule="auto"/>
              <w:jc w:val="center"/>
              <w:rPr>
                <w:b/>
                <w:bCs/>
                <w:sz w:val="20"/>
                <w:szCs w:val="20"/>
              </w:rPr>
            </w:pPr>
            <w:r>
              <w:rPr>
                <w:b/>
                <w:bCs/>
                <w:sz w:val="20"/>
                <w:szCs w:val="20"/>
              </w:rPr>
              <w:t>Most matches in seven days</w:t>
            </w:r>
          </w:p>
        </w:tc>
      </w:tr>
      <w:tr w:rsidR="00246B76" w:rsidRPr="00B72BB9" w14:paraId="7737B712" w14:textId="77777777" w:rsidTr="00181211">
        <w:trPr>
          <w:trHeight w:val="340"/>
        </w:trPr>
        <w:tc>
          <w:tcPr>
            <w:tcW w:w="833" w:type="pct"/>
            <w:tcBorders>
              <w:top w:val="single" w:sz="12" w:space="0" w:color="auto"/>
              <w:left w:val="nil"/>
              <w:bottom w:val="nil"/>
              <w:right w:val="nil"/>
            </w:tcBorders>
          </w:tcPr>
          <w:p w14:paraId="13D6DE1A" w14:textId="77777777" w:rsidR="00246B76" w:rsidRPr="00B72BB9" w:rsidRDefault="00246B76" w:rsidP="00181211">
            <w:pPr>
              <w:spacing w:line="276" w:lineRule="auto"/>
              <w:rPr>
                <w:sz w:val="20"/>
                <w:szCs w:val="20"/>
              </w:rPr>
            </w:pPr>
            <w:r>
              <w:rPr>
                <w:sz w:val="20"/>
                <w:szCs w:val="20"/>
              </w:rPr>
              <w:t>BR1</w:t>
            </w:r>
          </w:p>
        </w:tc>
        <w:tc>
          <w:tcPr>
            <w:tcW w:w="832" w:type="pct"/>
            <w:tcBorders>
              <w:top w:val="single" w:sz="12" w:space="0" w:color="auto"/>
              <w:left w:val="nil"/>
              <w:bottom w:val="nil"/>
              <w:right w:val="nil"/>
            </w:tcBorders>
          </w:tcPr>
          <w:p w14:paraId="35133B40" w14:textId="77777777" w:rsidR="00246B76" w:rsidRPr="00B72BB9" w:rsidRDefault="00246B76" w:rsidP="00181211">
            <w:pPr>
              <w:spacing w:line="276" w:lineRule="auto"/>
              <w:rPr>
                <w:sz w:val="20"/>
                <w:szCs w:val="20"/>
              </w:rPr>
            </w:pPr>
            <w:r>
              <w:rPr>
                <w:sz w:val="20"/>
                <w:szCs w:val="20"/>
              </w:rPr>
              <w:t>Challenger</w:t>
            </w:r>
          </w:p>
        </w:tc>
        <w:tc>
          <w:tcPr>
            <w:tcW w:w="833" w:type="pct"/>
            <w:tcBorders>
              <w:top w:val="single" w:sz="12" w:space="0" w:color="auto"/>
              <w:left w:val="nil"/>
              <w:bottom w:val="nil"/>
              <w:right w:val="nil"/>
            </w:tcBorders>
          </w:tcPr>
          <w:p w14:paraId="3DD4DBBE" w14:textId="77777777" w:rsidR="00246B76" w:rsidRPr="00B72BB9" w:rsidRDefault="00246B76" w:rsidP="00181211">
            <w:pPr>
              <w:spacing w:line="276" w:lineRule="auto"/>
              <w:jc w:val="center"/>
              <w:rPr>
                <w:sz w:val="20"/>
                <w:szCs w:val="20"/>
              </w:rPr>
            </w:pPr>
            <w:r>
              <w:rPr>
                <w:sz w:val="20"/>
                <w:szCs w:val="20"/>
              </w:rPr>
              <w:t xml:space="preserve">18.7 </w:t>
            </w:r>
            <w:r w:rsidRPr="00C40718">
              <w:rPr>
                <w:sz w:val="20"/>
                <w:szCs w:val="20"/>
              </w:rPr>
              <w:t>±</w:t>
            </w:r>
            <w:r>
              <w:rPr>
                <w:sz w:val="20"/>
                <w:szCs w:val="20"/>
              </w:rPr>
              <w:t xml:space="preserve"> 5.9 </w:t>
            </w:r>
          </w:p>
        </w:tc>
        <w:tc>
          <w:tcPr>
            <w:tcW w:w="833" w:type="pct"/>
            <w:tcBorders>
              <w:top w:val="single" w:sz="12" w:space="0" w:color="auto"/>
              <w:left w:val="nil"/>
              <w:bottom w:val="nil"/>
              <w:right w:val="nil"/>
            </w:tcBorders>
          </w:tcPr>
          <w:p w14:paraId="29FEEB88" w14:textId="77777777" w:rsidR="00246B76" w:rsidRDefault="00246B76" w:rsidP="00181211">
            <w:pPr>
              <w:spacing w:line="276" w:lineRule="auto"/>
              <w:jc w:val="center"/>
              <w:rPr>
                <w:sz w:val="20"/>
                <w:szCs w:val="20"/>
              </w:rPr>
            </w:pPr>
            <w:r>
              <w:rPr>
                <w:sz w:val="20"/>
                <w:szCs w:val="20"/>
              </w:rPr>
              <w:t xml:space="preserve">3.5 </w:t>
            </w:r>
            <w:r w:rsidRPr="00C40718">
              <w:rPr>
                <w:sz w:val="20"/>
                <w:szCs w:val="20"/>
              </w:rPr>
              <w:t>±</w:t>
            </w:r>
            <w:r>
              <w:rPr>
                <w:sz w:val="20"/>
                <w:szCs w:val="20"/>
              </w:rPr>
              <w:t xml:space="preserve"> 2.0</w:t>
            </w:r>
          </w:p>
        </w:tc>
        <w:tc>
          <w:tcPr>
            <w:tcW w:w="833" w:type="pct"/>
            <w:tcBorders>
              <w:top w:val="single" w:sz="12" w:space="0" w:color="auto"/>
              <w:left w:val="nil"/>
              <w:bottom w:val="nil"/>
              <w:right w:val="nil"/>
            </w:tcBorders>
          </w:tcPr>
          <w:p w14:paraId="339E7C46" w14:textId="77777777" w:rsidR="00246B76" w:rsidRPr="00B72BB9" w:rsidRDefault="00246B76" w:rsidP="00181211">
            <w:pPr>
              <w:spacing w:line="276" w:lineRule="auto"/>
              <w:jc w:val="center"/>
              <w:rPr>
                <w:sz w:val="20"/>
                <w:szCs w:val="20"/>
              </w:rPr>
            </w:pPr>
            <w:r>
              <w:rPr>
                <w:sz w:val="20"/>
                <w:szCs w:val="20"/>
              </w:rPr>
              <w:t xml:space="preserve">29.5 </w:t>
            </w:r>
            <w:r w:rsidRPr="00C40718">
              <w:rPr>
                <w:sz w:val="20"/>
                <w:szCs w:val="20"/>
              </w:rPr>
              <w:t>±</w:t>
            </w:r>
            <w:r>
              <w:rPr>
                <w:sz w:val="20"/>
                <w:szCs w:val="20"/>
              </w:rPr>
              <w:t xml:space="preserve"> 10.1</w:t>
            </w:r>
          </w:p>
        </w:tc>
        <w:tc>
          <w:tcPr>
            <w:tcW w:w="836" w:type="pct"/>
            <w:tcBorders>
              <w:top w:val="single" w:sz="12" w:space="0" w:color="auto"/>
              <w:left w:val="nil"/>
              <w:bottom w:val="nil"/>
              <w:right w:val="nil"/>
            </w:tcBorders>
          </w:tcPr>
          <w:p w14:paraId="6212684A" w14:textId="77777777" w:rsidR="00246B76" w:rsidRPr="00B72BB9" w:rsidRDefault="00246B76" w:rsidP="00181211">
            <w:pPr>
              <w:spacing w:line="276" w:lineRule="auto"/>
              <w:jc w:val="center"/>
              <w:rPr>
                <w:sz w:val="20"/>
                <w:szCs w:val="20"/>
              </w:rPr>
            </w:pPr>
            <w:r>
              <w:rPr>
                <w:sz w:val="20"/>
                <w:szCs w:val="20"/>
              </w:rPr>
              <w:t xml:space="preserve">51.1 </w:t>
            </w:r>
            <w:r w:rsidRPr="00C40718">
              <w:rPr>
                <w:sz w:val="20"/>
                <w:szCs w:val="20"/>
              </w:rPr>
              <w:t>±</w:t>
            </w:r>
            <w:r>
              <w:rPr>
                <w:sz w:val="20"/>
                <w:szCs w:val="20"/>
              </w:rPr>
              <w:t xml:space="preserve"> 15.4</w:t>
            </w:r>
          </w:p>
        </w:tc>
      </w:tr>
      <w:tr w:rsidR="00246B76" w:rsidRPr="00B72BB9" w14:paraId="5DAA8F59" w14:textId="77777777" w:rsidTr="00181211">
        <w:trPr>
          <w:trHeight w:val="340"/>
        </w:trPr>
        <w:tc>
          <w:tcPr>
            <w:tcW w:w="833" w:type="pct"/>
            <w:tcBorders>
              <w:top w:val="nil"/>
              <w:left w:val="nil"/>
              <w:bottom w:val="nil"/>
              <w:right w:val="nil"/>
            </w:tcBorders>
          </w:tcPr>
          <w:p w14:paraId="2F7725BA"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08EF1189" w14:textId="77777777" w:rsidR="00246B76" w:rsidRPr="00B72BB9" w:rsidRDefault="00246B76" w:rsidP="00181211">
            <w:pPr>
              <w:spacing w:line="276" w:lineRule="auto"/>
              <w:rPr>
                <w:sz w:val="20"/>
                <w:szCs w:val="20"/>
              </w:rPr>
            </w:pPr>
            <w:r>
              <w:rPr>
                <w:sz w:val="20"/>
                <w:szCs w:val="20"/>
              </w:rPr>
              <w:t>Grandmaster</w:t>
            </w:r>
          </w:p>
        </w:tc>
        <w:tc>
          <w:tcPr>
            <w:tcW w:w="833" w:type="pct"/>
            <w:tcBorders>
              <w:top w:val="nil"/>
              <w:left w:val="nil"/>
              <w:bottom w:val="nil"/>
              <w:right w:val="nil"/>
            </w:tcBorders>
          </w:tcPr>
          <w:p w14:paraId="56807AC0" w14:textId="77777777" w:rsidR="00246B76" w:rsidRPr="00B72BB9" w:rsidRDefault="00246B76" w:rsidP="00181211">
            <w:pPr>
              <w:spacing w:line="276" w:lineRule="auto"/>
              <w:jc w:val="center"/>
              <w:rPr>
                <w:sz w:val="20"/>
                <w:szCs w:val="20"/>
              </w:rPr>
            </w:pPr>
            <w:r>
              <w:rPr>
                <w:sz w:val="20"/>
                <w:szCs w:val="20"/>
              </w:rPr>
              <w:t xml:space="preserve">17.8 </w:t>
            </w:r>
            <w:r w:rsidRPr="00C40718">
              <w:rPr>
                <w:sz w:val="20"/>
                <w:szCs w:val="20"/>
              </w:rPr>
              <w:t>±</w:t>
            </w:r>
            <w:r>
              <w:rPr>
                <w:sz w:val="20"/>
                <w:szCs w:val="20"/>
              </w:rPr>
              <w:t xml:space="preserve"> 5.8</w:t>
            </w:r>
          </w:p>
        </w:tc>
        <w:tc>
          <w:tcPr>
            <w:tcW w:w="833" w:type="pct"/>
            <w:tcBorders>
              <w:top w:val="nil"/>
              <w:left w:val="nil"/>
              <w:bottom w:val="nil"/>
              <w:right w:val="nil"/>
            </w:tcBorders>
          </w:tcPr>
          <w:p w14:paraId="19F20A9E" w14:textId="77777777" w:rsidR="00246B76" w:rsidRDefault="00246B76" w:rsidP="00181211">
            <w:pPr>
              <w:spacing w:line="276" w:lineRule="auto"/>
              <w:jc w:val="center"/>
              <w:rPr>
                <w:sz w:val="20"/>
                <w:szCs w:val="20"/>
              </w:rPr>
            </w:pPr>
            <w:r>
              <w:rPr>
                <w:sz w:val="20"/>
                <w:szCs w:val="20"/>
              </w:rPr>
              <w:t xml:space="preserve">3.8 </w:t>
            </w:r>
            <w:r w:rsidRPr="00C40718">
              <w:rPr>
                <w:sz w:val="20"/>
                <w:szCs w:val="20"/>
              </w:rPr>
              <w:t>±</w:t>
            </w:r>
            <w:r>
              <w:rPr>
                <w:sz w:val="20"/>
                <w:szCs w:val="20"/>
              </w:rPr>
              <w:t xml:space="preserve"> 2.4</w:t>
            </w:r>
          </w:p>
        </w:tc>
        <w:tc>
          <w:tcPr>
            <w:tcW w:w="833" w:type="pct"/>
            <w:tcBorders>
              <w:top w:val="nil"/>
              <w:left w:val="nil"/>
              <w:bottom w:val="nil"/>
              <w:right w:val="nil"/>
            </w:tcBorders>
          </w:tcPr>
          <w:p w14:paraId="758E1454" w14:textId="77777777" w:rsidR="00246B76" w:rsidRPr="00B72BB9" w:rsidRDefault="00246B76" w:rsidP="00181211">
            <w:pPr>
              <w:spacing w:line="276" w:lineRule="auto"/>
              <w:jc w:val="center"/>
              <w:rPr>
                <w:sz w:val="20"/>
                <w:szCs w:val="20"/>
              </w:rPr>
            </w:pPr>
            <w:r>
              <w:rPr>
                <w:sz w:val="20"/>
                <w:szCs w:val="20"/>
              </w:rPr>
              <w:t xml:space="preserve">30.9 </w:t>
            </w:r>
            <w:r w:rsidRPr="00C40718">
              <w:rPr>
                <w:sz w:val="20"/>
                <w:szCs w:val="20"/>
              </w:rPr>
              <w:t>±</w:t>
            </w:r>
            <w:r>
              <w:rPr>
                <w:sz w:val="20"/>
                <w:szCs w:val="20"/>
              </w:rPr>
              <w:t xml:space="preserve"> 9.8</w:t>
            </w:r>
          </w:p>
        </w:tc>
        <w:tc>
          <w:tcPr>
            <w:tcW w:w="836" w:type="pct"/>
            <w:tcBorders>
              <w:top w:val="nil"/>
              <w:left w:val="nil"/>
              <w:bottom w:val="nil"/>
              <w:right w:val="nil"/>
            </w:tcBorders>
          </w:tcPr>
          <w:p w14:paraId="66AEDEE9" w14:textId="77777777" w:rsidR="00246B76" w:rsidRPr="00B72BB9" w:rsidRDefault="00246B76" w:rsidP="00181211">
            <w:pPr>
              <w:spacing w:line="276" w:lineRule="auto"/>
              <w:jc w:val="center"/>
              <w:rPr>
                <w:sz w:val="20"/>
                <w:szCs w:val="20"/>
              </w:rPr>
            </w:pPr>
            <w:r>
              <w:rPr>
                <w:sz w:val="20"/>
                <w:szCs w:val="20"/>
              </w:rPr>
              <w:t xml:space="preserve">50.4 </w:t>
            </w:r>
            <w:r w:rsidRPr="00C40718">
              <w:rPr>
                <w:sz w:val="20"/>
                <w:szCs w:val="20"/>
              </w:rPr>
              <w:t>±</w:t>
            </w:r>
            <w:r>
              <w:rPr>
                <w:sz w:val="20"/>
                <w:szCs w:val="20"/>
              </w:rPr>
              <w:t xml:space="preserve"> 16.6</w:t>
            </w:r>
          </w:p>
        </w:tc>
      </w:tr>
      <w:tr w:rsidR="00246B76" w:rsidRPr="00B72BB9" w14:paraId="05D4AB52" w14:textId="77777777" w:rsidTr="00181211">
        <w:trPr>
          <w:trHeight w:val="340"/>
        </w:trPr>
        <w:tc>
          <w:tcPr>
            <w:tcW w:w="833" w:type="pct"/>
            <w:tcBorders>
              <w:top w:val="nil"/>
              <w:left w:val="nil"/>
              <w:bottom w:val="nil"/>
              <w:right w:val="nil"/>
            </w:tcBorders>
          </w:tcPr>
          <w:p w14:paraId="734A2916"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7F173670" w14:textId="77777777" w:rsidR="00246B76" w:rsidRPr="00B72BB9" w:rsidRDefault="00246B76" w:rsidP="00181211">
            <w:pPr>
              <w:spacing w:line="276" w:lineRule="auto"/>
              <w:rPr>
                <w:sz w:val="20"/>
                <w:szCs w:val="20"/>
              </w:rPr>
            </w:pPr>
            <w:r>
              <w:rPr>
                <w:sz w:val="20"/>
                <w:szCs w:val="20"/>
              </w:rPr>
              <w:t>Master</w:t>
            </w:r>
          </w:p>
        </w:tc>
        <w:tc>
          <w:tcPr>
            <w:tcW w:w="833" w:type="pct"/>
            <w:tcBorders>
              <w:top w:val="nil"/>
              <w:left w:val="nil"/>
              <w:bottom w:val="nil"/>
              <w:right w:val="nil"/>
            </w:tcBorders>
          </w:tcPr>
          <w:p w14:paraId="389053DC" w14:textId="77777777" w:rsidR="00246B76" w:rsidRPr="00B72BB9" w:rsidRDefault="00246B76" w:rsidP="00181211">
            <w:pPr>
              <w:spacing w:line="276" w:lineRule="auto"/>
              <w:jc w:val="center"/>
              <w:rPr>
                <w:sz w:val="20"/>
                <w:szCs w:val="20"/>
              </w:rPr>
            </w:pPr>
            <w:r>
              <w:rPr>
                <w:sz w:val="20"/>
                <w:szCs w:val="20"/>
              </w:rPr>
              <w:t xml:space="preserve">20.8 </w:t>
            </w:r>
            <w:r w:rsidRPr="00C40718">
              <w:rPr>
                <w:sz w:val="20"/>
                <w:szCs w:val="20"/>
              </w:rPr>
              <w:t>±</w:t>
            </w:r>
            <w:r>
              <w:rPr>
                <w:sz w:val="20"/>
                <w:szCs w:val="20"/>
              </w:rPr>
              <w:t xml:space="preserve"> 5.0</w:t>
            </w:r>
          </w:p>
        </w:tc>
        <w:tc>
          <w:tcPr>
            <w:tcW w:w="833" w:type="pct"/>
            <w:tcBorders>
              <w:top w:val="nil"/>
              <w:left w:val="nil"/>
              <w:bottom w:val="nil"/>
              <w:right w:val="nil"/>
            </w:tcBorders>
          </w:tcPr>
          <w:p w14:paraId="13EDEB6D" w14:textId="77777777" w:rsidR="00246B76" w:rsidRDefault="00246B76" w:rsidP="00181211">
            <w:pPr>
              <w:spacing w:line="276" w:lineRule="auto"/>
              <w:jc w:val="center"/>
              <w:rPr>
                <w:sz w:val="20"/>
                <w:szCs w:val="20"/>
              </w:rPr>
            </w:pPr>
            <w:r>
              <w:rPr>
                <w:sz w:val="20"/>
                <w:szCs w:val="20"/>
              </w:rPr>
              <w:t xml:space="preserve">5.0 </w:t>
            </w:r>
            <w:r w:rsidRPr="00C40718">
              <w:rPr>
                <w:sz w:val="20"/>
                <w:szCs w:val="20"/>
              </w:rPr>
              <w:t>±</w:t>
            </w:r>
            <w:r>
              <w:rPr>
                <w:sz w:val="20"/>
                <w:szCs w:val="20"/>
              </w:rPr>
              <w:t xml:space="preserve"> 2.2</w:t>
            </w:r>
          </w:p>
        </w:tc>
        <w:tc>
          <w:tcPr>
            <w:tcW w:w="833" w:type="pct"/>
            <w:tcBorders>
              <w:top w:val="nil"/>
              <w:left w:val="nil"/>
              <w:bottom w:val="nil"/>
              <w:right w:val="nil"/>
            </w:tcBorders>
          </w:tcPr>
          <w:p w14:paraId="296D7989" w14:textId="77777777" w:rsidR="00246B76" w:rsidRPr="00B72BB9" w:rsidRDefault="00246B76" w:rsidP="00181211">
            <w:pPr>
              <w:spacing w:line="276" w:lineRule="auto"/>
              <w:jc w:val="center"/>
              <w:rPr>
                <w:sz w:val="20"/>
                <w:szCs w:val="20"/>
              </w:rPr>
            </w:pPr>
            <w:r>
              <w:rPr>
                <w:sz w:val="20"/>
                <w:szCs w:val="20"/>
              </w:rPr>
              <w:t xml:space="preserve">26.8 </w:t>
            </w:r>
            <w:r w:rsidRPr="00C40718">
              <w:rPr>
                <w:sz w:val="20"/>
                <w:szCs w:val="20"/>
              </w:rPr>
              <w:t>±</w:t>
            </w:r>
            <w:r>
              <w:rPr>
                <w:sz w:val="20"/>
                <w:szCs w:val="20"/>
              </w:rPr>
              <w:t xml:space="preserve"> 6.9</w:t>
            </w:r>
          </w:p>
        </w:tc>
        <w:tc>
          <w:tcPr>
            <w:tcW w:w="836" w:type="pct"/>
            <w:tcBorders>
              <w:top w:val="nil"/>
              <w:left w:val="nil"/>
              <w:bottom w:val="nil"/>
              <w:right w:val="nil"/>
            </w:tcBorders>
          </w:tcPr>
          <w:p w14:paraId="67DC3470" w14:textId="77777777" w:rsidR="00246B76" w:rsidRPr="00B72BB9" w:rsidRDefault="00246B76" w:rsidP="00181211">
            <w:pPr>
              <w:spacing w:line="276" w:lineRule="auto"/>
              <w:jc w:val="center"/>
              <w:rPr>
                <w:sz w:val="20"/>
                <w:szCs w:val="20"/>
              </w:rPr>
            </w:pPr>
            <w:r>
              <w:rPr>
                <w:sz w:val="20"/>
                <w:szCs w:val="20"/>
              </w:rPr>
              <w:t xml:space="preserve">45.1 </w:t>
            </w:r>
            <w:r w:rsidRPr="00C40718">
              <w:rPr>
                <w:sz w:val="20"/>
                <w:szCs w:val="20"/>
              </w:rPr>
              <w:t>±</w:t>
            </w:r>
            <w:r>
              <w:rPr>
                <w:sz w:val="20"/>
                <w:szCs w:val="20"/>
              </w:rPr>
              <w:t xml:space="preserve"> 14.1</w:t>
            </w:r>
          </w:p>
        </w:tc>
      </w:tr>
      <w:tr w:rsidR="00246B76" w:rsidRPr="00B72BB9" w14:paraId="437388B9" w14:textId="77777777" w:rsidTr="00181211">
        <w:trPr>
          <w:trHeight w:val="398"/>
        </w:trPr>
        <w:tc>
          <w:tcPr>
            <w:tcW w:w="833" w:type="pct"/>
            <w:tcBorders>
              <w:top w:val="nil"/>
              <w:left w:val="nil"/>
              <w:bottom w:val="nil"/>
              <w:right w:val="nil"/>
            </w:tcBorders>
          </w:tcPr>
          <w:p w14:paraId="4ABD1B37"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53C9F02F" w14:textId="77777777" w:rsidR="00246B76" w:rsidRPr="00B72BB9" w:rsidRDefault="00246B76" w:rsidP="00181211">
            <w:pPr>
              <w:spacing w:line="276" w:lineRule="auto"/>
              <w:rPr>
                <w:sz w:val="20"/>
                <w:szCs w:val="20"/>
              </w:rPr>
            </w:pPr>
            <w:r>
              <w:rPr>
                <w:sz w:val="20"/>
                <w:szCs w:val="20"/>
              </w:rPr>
              <w:t>Emerald I</w:t>
            </w:r>
          </w:p>
        </w:tc>
        <w:tc>
          <w:tcPr>
            <w:tcW w:w="833" w:type="pct"/>
            <w:tcBorders>
              <w:top w:val="nil"/>
              <w:left w:val="nil"/>
              <w:bottom w:val="nil"/>
              <w:right w:val="nil"/>
            </w:tcBorders>
          </w:tcPr>
          <w:p w14:paraId="051027CD" w14:textId="77777777" w:rsidR="00246B76" w:rsidRPr="00B72BB9" w:rsidRDefault="00246B76" w:rsidP="00181211">
            <w:pPr>
              <w:spacing w:line="276" w:lineRule="auto"/>
              <w:jc w:val="center"/>
              <w:rPr>
                <w:sz w:val="20"/>
                <w:szCs w:val="20"/>
              </w:rPr>
            </w:pPr>
            <w:r>
              <w:rPr>
                <w:sz w:val="20"/>
                <w:szCs w:val="20"/>
              </w:rPr>
              <w:t xml:space="preserve">22.7 </w:t>
            </w:r>
            <w:r w:rsidRPr="00C40718">
              <w:rPr>
                <w:sz w:val="20"/>
                <w:szCs w:val="20"/>
              </w:rPr>
              <w:t>±</w:t>
            </w:r>
            <w:r>
              <w:rPr>
                <w:sz w:val="20"/>
                <w:szCs w:val="20"/>
              </w:rPr>
              <w:t xml:space="preserve"> 7.8</w:t>
            </w:r>
          </w:p>
        </w:tc>
        <w:tc>
          <w:tcPr>
            <w:tcW w:w="833" w:type="pct"/>
            <w:tcBorders>
              <w:top w:val="nil"/>
              <w:left w:val="nil"/>
              <w:bottom w:val="nil"/>
              <w:right w:val="nil"/>
            </w:tcBorders>
          </w:tcPr>
          <w:p w14:paraId="57D38617" w14:textId="77777777" w:rsidR="00246B76" w:rsidRDefault="00246B76" w:rsidP="00181211">
            <w:pPr>
              <w:spacing w:line="276" w:lineRule="auto"/>
              <w:jc w:val="center"/>
              <w:rPr>
                <w:sz w:val="20"/>
                <w:szCs w:val="20"/>
              </w:rPr>
            </w:pPr>
            <w:r>
              <w:rPr>
                <w:sz w:val="20"/>
                <w:szCs w:val="20"/>
              </w:rPr>
              <w:t xml:space="preserve">5.1 </w:t>
            </w:r>
            <w:r w:rsidRPr="00C40718">
              <w:rPr>
                <w:sz w:val="20"/>
                <w:szCs w:val="20"/>
              </w:rPr>
              <w:t>±</w:t>
            </w:r>
            <w:r>
              <w:rPr>
                <w:sz w:val="20"/>
                <w:szCs w:val="20"/>
              </w:rPr>
              <w:t xml:space="preserve"> 1.9</w:t>
            </w:r>
          </w:p>
        </w:tc>
        <w:tc>
          <w:tcPr>
            <w:tcW w:w="833" w:type="pct"/>
            <w:tcBorders>
              <w:top w:val="nil"/>
              <w:left w:val="nil"/>
              <w:bottom w:val="nil"/>
              <w:right w:val="nil"/>
            </w:tcBorders>
          </w:tcPr>
          <w:p w14:paraId="68CBF70C" w14:textId="77777777" w:rsidR="00246B76" w:rsidRPr="00B72BB9" w:rsidRDefault="00246B76" w:rsidP="00181211">
            <w:pPr>
              <w:spacing w:line="276" w:lineRule="auto"/>
              <w:jc w:val="center"/>
              <w:rPr>
                <w:sz w:val="20"/>
                <w:szCs w:val="20"/>
              </w:rPr>
            </w:pPr>
            <w:r>
              <w:rPr>
                <w:sz w:val="20"/>
                <w:szCs w:val="20"/>
              </w:rPr>
              <w:t xml:space="preserve">24.5 </w:t>
            </w:r>
            <w:r w:rsidRPr="00C40718">
              <w:rPr>
                <w:sz w:val="20"/>
                <w:szCs w:val="20"/>
              </w:rPr>
              <w:t>±</w:t>
            </w:r>
            <w:r>
              <w:rPr>
                <w:sz w:val="20"/>
                <w:szCs w:val="20"/>
              </w:rPr>
              <w:t xml:space="preserve"> 8.0</w:t>
            </w:r>
          </w:p>
        </w:tc>
        <w:tc>
          <w:tcPr>
            <w:tcW w:w="836" w:type="pct"/>
            <w:tcBorders>
              <w:top w:val="nil"/>
              <w:left w:val="nil"/>
              <w:bottom w:val="nil"/>
              <w:right w:val="nil"/>
            </w:tcBorders>
          </w:tcPr>
          <w:p w14:paraId="73D16744" w14:textId="77777777" w:rsidR="00246B76" w:rsidRPr="00B72BB9" w:rsidRDefault="00246B76" w:rsidP="00181211">
            <w:pPr>
              <w:spacing w:line="276" w:lineRule="auto"/>
              <w:jc w:val="center"/>
              <w:rPr>
                <w:sz w:val="20"/>
                <w:szCs w:val="20"/>
              </w:rPr>
            </w:pPr>
            <w:r>
              <w:rPr>
                <w:sz w:val="20"/>
                <w:szCs w:val="20"/>
              </w:rPr>
              <w:t xml:space="preserve">41.2 </w:t>
            </w:r>
            <w:r w:rsidRPr="00C40718">
              <w:rPr>
                <w:sz w:val="20"/>
                <w:szCs w:val="20"/>
              </w:rPr>
              <w:t>±</w:t>
            </w:r>
            <w:r>
              <w:rPr>
                <w:sz w:val="20"/>
                <w:szCs w:val="20"/>
              </w:rPr>
              <w:t xml:space="preserve"> 14.6</w:t>
            </w:r>
          </w:p>
        </w:tc>
      </w:tr>
      <w:tr w:rsidR="00246B76" w:rsidRPr="00B72BB9" w14:paraId="16F06348" w14:textId="77777777" w:rsidTr="00181211">
        <w:trPr>
          <w:trHeight w:val="340"/>
        </w:trPr>
        <w:tc>
          <w:tcPr>
            <w:tcW w:w="833" w:type="pct"/>
            <w:tcBorders>
              <w:top w:val="nil"/>
              <w:left w:val="nil"/>
              <w:bottom w:val="nil"/>
              <w:right w:val="nil"/>
            </w:tcBorders>
          </w:tcPr>
          <w:p w14:paraId="42510623" w14:textId="77777777" w:rsidR="00246B76" w:rsidRPr="00B72BB9" w:rsidRDefault="00246B76" w:rsidP="00181211">
            <w:pPr>
              <w:spacing w:line="276" w:lineRule="auto"/>
              <w:rPr>
                <w:sz w:val="20"/>
                <w:szCs w:val="20"/>
              </w:rPr>
            </w:pPr>
            <w:r>
              <w:rPr>
                <w:sz w:val="20"/>
                <w:szCs w:val="20"/>
              </w:rPr>
              <w:t>JP1</w:t>
            </w:r>
          </w:p>
        </w:tc>
        <w:tc>
          <w:tcPr>
            <w:tcW w:w="832" w:type="pct"/>
            <w:tcBorders>
              <w:top w:val="nil"/>
              <w:left w:val="nil"/>
              <w:bottom w:val="nil"/>
              <w:right w:val="nil"/>
            </w:tcBorders>
          </w:tcPr>
          <w:p w14:paraId="396539E4" w14:textId="77777777" w:rsidR="00246B76" w:rsidRPr="00B72BB9" w:rsidRDefault="00246B76" w:rsidP="00181211">
            <w:pPr>
              <w:spacing w:line="276" w:lineRule="auto"/>
              <w:rPr>
                <w:sz w:val="20"/>
                <w:szCs w:val="20"/>
              </w:rPr>
            </w:pPr>
            <w:r>
              <w:rPr>
                <w:sz w:val="20"/>
                <w:szCs w:val="20"/>
              </w:rPr>
              <w:t>Challenger</w:t>
            </w:r>
          </w:p>
        </w:tc>
        <w:tc>
          <w:tcPr>
            <w:tcW w:w="833" w:type="pct"/>
            <w:tcBorders>
              <w:top w:val="nil"/>
              <w:left w:val="nil"/>
              <w:bottom w:val="nil"/>
              <w:right w:val="nil"/>
            </w:tcBorders>
          </w:tcPr>
          <w:p w14:paraId="7B6ABD1C" w14:textId="77777777" w:rsidR="00246B76" w:rsidRPr="00B72BB9" w:rsidRDefault="00246B76" w:rsidP="00181211">
            <w:pPr>
              <w:spacing w:line="276" w:lineRule="auto"/>
              <w:jc w:val="center"/>
              <w:rPr>
                <w:sz w:val="20"/>
                <w:szCs w:val="20"/>
              </w:rPr>
            </w:pPr>
            <w:r>
              <w:rPr>
                <w:sz w:val="20"/>
                <w:szCs w:val="20"/>
              </w:rPr>
              <w:t xml:space="preserve">17.0 </w:t>
            </w:r>
            <w:r w:rsidRPr="00C40718">
              <w:rPr>
                <w:sz w:val="20"/>
                <w:szCs w:val="20"/>
              </w:rPr>
              <w:t>±</w:t>
            </w:r>
            <w:r>
              <w:rPr>
                <w:sz w:val="20"/>
                <w:szCs w:val="20"/>
              </w:rPr>
              <w:t xml:space="preserve"> 6.0</w:t>
            </w:r>
          </w:p>
        </w:tc>
        <w:tc>
          <w:tcPr>
            <w:tcW w:w="833" w:type="pct"/>
            <w:tcBorders>
              <w:top w:val="nil"/>
              <w:left w:val="nil"/>
              <w:bottom w:val="nil"/>
              <w:right w:val="nil"/>
            </w:tcBorders>
          </w:tcPr>
          <w:p w14:paraId="48E5E0D8" w14:textId="77777777" w:rsidR="00246B76" w:rsidRDefault="00246B76" w:rsidP="00181211">
            <w:pPr>
              <w:spacing w:line="276" w:lineRule="auto"/>
              <w:jc w:val="center"/>
              <w:rPr>
                <w:sz w:val="20"/>
                <w:szCs w:val="20"/>
              </w:rPr>
            </w:pPr>
            <w:r>
              <w:rPr>
                <w:sz w:val="20"/>
                <w:szCs w:val="20"/>
              </w:rPr>
              <w:t xml:space="preserve">5.5 </w:t>
            </w:r>
            <w:r w:rsidRPr="00C40718">
              <w:rPr>
                <w:sz w:val="20"/>
                <w:szCs w:val="20"/>
              </w:rPr>
              <w:t>±</w:t>
            </w:r>
            <w:r>
              <w:rPr>
                <w:sz w:val="20"/>
                <w:szCs w:val="20"/>
              </w:rPr>
              <w:t xml:space="preserve"> 1.7</w:t>
            </w:r>
          </w:p>
        </w:tc>
        <w:tc>
          <w:tcPr>
            <w:tcW w:w="833" w:type="pct"/>
            <w:tcBorders>
              <w:top w:val="nil"/>
              <w:left w:val="nil"/>
              <w:bottom w:val="nil"/>
              <w:right w:val="nil"/>
            </w:tcBorders>
          </w:tcPr>
          <w:p w14:paraId="35EF9A1B" w14:textId="77777777" w:rsidR="00246B76" w:rsidRPr="00B72BB9" w:rsidRDefault="00246B76" w:rsidP="00181211">
            <w:pPr>
              <w:spacing w:line="276" w:lineRule="auto"/>
              <w:jc w:val="center"/>
              <w:rPr>
                <w:sz w:val="20"/>
                <w:szCs w:val="20"/>
              </w:rPr>
            </w:pPr>
            <w:r>
              <w:rPr>
                <w:sz w:val="20"/>
                <w:szCs w:val="20"/>
              </w:rPr>
              <w:t xml:space="preserve">34.9 </w:t>
            </w:r>
            <w:r w:rsidRPr="00C40718">
              <w:rPr>
                <w:sz w:val="20"/>
                <w:szCs w:val="20"/>
              </w:rPr>
              <w:t>±</w:t>
            </w:r>
            <w:r>
              <w:rPr>
                <w:sz w:val="20"/>
                <w:szCs w:val="20"/>
              </w:rPr>
              <w:t xml:space="preserve"> 12.0</w:t>
            </w:r>
          </w:p>
        </w:tc>
        <w:tc>
          <w:tcPr>
            <w:tcW w:w="836" w:type="pct"/>
            <w:tcBorders>
              <w:top w:val="nil"/>
              <w:left w:val="nil"/>
              <w:bottom w:val="nil"/>
              <w:right w:val="nil"/>
            </w:tcBorders>
          </w:tcPr>
          <w:p w14:paraId="43F7DD44" w14:textId="77777777" w:rsidR="00246B76" w:rsidRPr="00B72BB9" w:rsidRDefault="00246B76" w:rsidP="00181211">
            <w:pPr>
              <w:spacing w:line="276" w:lineRule="auto"/>
              <w:jc w:val="center"/>
              <w:rPr>
                <w:sz w:val="20"/>
                <w:szCs w:val="20"/>
              </w:rPr>
            </w:pPr>
            <w:r>
              <w:rPr>
                <w:sz w:val="20"/>
                <w:szCs w:val="20"/>
              </w:rPr>
              <w:t xml:space="preserve">57.1 </w:t>
            </w:r>
            <w:r w:rsidRPr="00C40718">
              <w:rPr>
                <w:sz w:val="20"/>
                <w:szCs w:val="20"/>
              </w:rPr>
              <w:t>±</w:t>
            </w:r>
            <w:r>
              <w:rPr>
                <w:sz w:val="20"/>
                <w:szCs w:val="20"/>
              </w:rPr>
              <w:t xml:space="preserve"> 18.0</w:t>
            </w:r>
          </w:p>
        </w:tc>
      </w:tr>
      <w:tr w:rsidR="00246B76" w:rsidRPr="00B72BB9" w14:paraId="00CAC6AA" w14:textId="77777777" w:rsidTr="00181211">
        <w:trPr>
          <w:trHeight w:val="340"/>
        </w:trPr>
        <w:tc>
          <w:tcPr>
            <w:tcW w:w="833" w:type="pct"/>
            <w:tcBorders>
              <w:top w:val="nil"/>
              <w:left w:val="nil"/>
              <w:bottom w:val="nil"/>
              <w:right w:val="nil"/>
            </w:tcBorders>
          </w:tcPr>
          <w:p w14:paraId="1F1D7203"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47ABA10D" w14:textId="77777777" w:rsidR="00246B76" w:rsidRPr="00B72BB9" w:rsidRDefault="00246B76" w:rsidP="00181211">
            <w:pPr>
              <w:spacing w:line="276" w:lineRule="auto"/>
              <w:rPr>
                <w:sz w:val="20"/>
                <w:szCs w:val="20"/>
              </w:rPr>
            </w:pPr>
            <w:r>
              <w:rPr>
                <w:sz w:val="20"/>
                <w:szCs w:val="20"/>
              </w:rPr>
              <w:t>Grandmaster</w:t>
            </w:r>
          </w:p>
        </w:tc>
        <w:tc>
          <w:tcPr>
            <w:tcW w:w="833" w:type="pct"/>
            <w:tcBorders>
              <w:top w:val="nil"/>
              <w:left w:val="nil"/>
              <w:bottom w:val="nil"/>
              <w:right w:val="nil"/>
            </w:tcBorders>
          </w:tcPr>
          <w:p w14:paraId="1E4E3FE6" w14:textId="77777777" w:rsidR="00246B76" w:rsidRPr="00B72BB9" w:rsidRDefault="00246B76" w:rsidP="00181211">
            <w:pPr>
              <w:spacing w:line="276" w:lineRule="auto"/>
              <w:jc w:val="center"/>
              <w:rPr>
                <w:sz w:val="20"/>
                <w:szCs w:val="20"/>
              </w:rPr>
            </w:pPr>
            <w:r>
              <w:rPr>
                <w:sz w:val="20"/>
                <w:szCs w:val="20"/>
              </w:rPr>
              <w:t xml:space="preserve">19.1 </w:t>
            </w:r>
            <w:r w:rsidRPr="00C40718">
              <w:rPr>
                <w:sz w:val="20"/>
                <w:szCs w:val="20"/>
              </w:rPr>
              <w:t>±</w:t>
            </w:r>
            <w:r>
              <w:rPr>
                <w:sz w:val="20"/>
                <w:szCs w:val="20"/>
              </w:rPr>
              <w:t xml:space="preserve"> 6.9</w:t>
            </w:r>
          </w:p>
        </w:tc>
        <w:tc>
          <w:tcPr>
            <w:tcW w:w="833" w:type="pct"/>
            <w:tcBorders>
              <w:top w:val="nil"/>
              <w:left w:val="nil"/>
              <w:bottom w:val="nil"/>
              <w:right w:val="nil"/>
            </w:tcBorders>
          </w:tcPr>
          <w:p w14:paraId="3AF61BAB" w14:textId="77777777" w:rsidR="00246B76" w:rsidRDefault="00246B76" w:rsidP="00181211">
            <w:pPr>
              <w:spacing w:line="276" w:lineRule="auto"/>
              <w:jc w:val="center"/>
              <w:rPr>
                <w:sz w:val="20"/>
                <w:szCs w:val="20"/>
              </w:rPr>
            </w:pPr>
            <w:r>
              <w:rPr>
                <w:sz w:val="20"/>
                <w:szCs w:val="20"/>
              </w:rPr>
              <w:t xml:space="preserve">5.3 </w:t>
            </w:r>
            <w:r w:rsidRPr="00C40718">
              <w:rPr>
                <w:sz w:val="20"/>
                <w:szCs w:val="20"/>
              </w:rPr>
              <w:t>±</w:t>
            </w:r>
            <w:r>
              <w:rPr>
                <w:sz w:val="20"/>
                <w:szCs w:val="20"/>
              </w:rPr>
              <w:t xml:space="preserve"> 1.9</w:t>
            </w:r>
          </w:p>
        </w:tc>
        <w:tc>
          <w:tcPr>
            <w:tcW w:w="833" w:type="pct"/>
            <w:tcBorders>
              <w:top w:val="nil"/>
              <w:left w:val="nil"/>
              <w:bottom w:val="nil"/>
              <w:right w:val="nil"/>
            </w:tcBorders>
          </w:tcPr>
          <w:p w14:paraId="0E90430B" w14:textId="77777777" w:rsidR="00246B76" w:rsidRPr="00B72BB9" w:rsidRDefault="00246B76" w:rsidP="00181211">
            <w:pPr>
              <w:spacing w:line="276" w:lineRule="auto"/>
              <w:jc w:val="center"/>
              <w:rPr>
                <w:sz w:val="20"/>
                <w:szCs w:val="20"/>
              </w:rPr>
            </w:pPr>
            <w:r>
              <w:rPr>
                <w:sz w:val="20"/>
                <w:szCs w:val="20"/>
              </w:rPr>
              <w:t xml:space="preserve">29.0 </w:t>
            </w:r>
            <w:r w:rsidRPr="00C40718">
              <w:rPr>
                <w:sz w:val="20"/>
                <w:szCs w:val="20"/>
              </w:rPr>
              <w:t>±</w:t>
            </w:r>
            <w:r>
              <w:rPr>
                <w:sz w:val="20"/>
                <w:szCs w:val="20"/>
              </w:rPr>
              <w:t xml:space="preserve"> 11.8</w:t>
            </w:r>
          </w:p>
        </w:tc>
        <w:tc>
          <w:tcPr>
            <w:tcW w:w="836" w:type="pct"/>
            <w:tcBorders>
              <w:top w:val="nil"/>
              <w:left w:val="nil"/>
              <w:bottom w:val="nil"/>
              <w:right w:val="nil"/>
            </w:tcBorders>
          </w:tcPr>
          <w:p w14:paraId="4F68C141" w14:textId="77777777" w:rsidR="00246B76" w:rsidRPr="00B72BB9" w:rsidRDefault="00246B76" w:rsidP="00181211">
            <w:pPr>
              <w:spacing w:line="276" w:lineRule="auto"/>
              <w:jc w:val="center"/>
              <w:rPr>
                <w:sz w:val="20"/>
                <w:szCs w:val="20"/>
              </w:rPr>
            </w:pPr>
            <w:r>
              <w:rPr>
                <w:sz w:val="20"/>
                <w:szCs w:val="20"/>
              </w:rPr>
              <w:t xml:space="preserve">47.3 </w:t>
            </w:r>
            <w:r w:rsidRPr="00C40718">
              <w:rPr>
                <w:sz w:val="20"/>
                <w:szCs w:val="20"/>
              </w:rPr>
              <w:t>±</w:t>
            </w:r>
            <w:r>
              <w:rPr>
                <w:sz w:val="20"/>
                <w:szCs w:val="20"/>
              </w:rPr>
              <w:t xml:space="preserve"> 16.2</w:t>
            </w:r>
          </w:p>
        </w:tc>
      </w:tr>
      <w:tr w:rsidR="00246B76" w:rsidRPr="00B72BB9" w14:paraId="02E37A11" w14:textId="77777777" w:rsidTr="00181211">
        <w:trPr>
          <w:trHeight w:val="340"/>
        </w:trPr>
        <w:tc>
          <w:tcPr>
            <w:tcW w:w="833" w:type="pct"/>
            <w:tcBorders>
              <w:top w:val="nil"/>
              <w:left w:val="nil"/>
              <w:bottom w:val="nil"/>
              <w:right w:val="nil"/>
            </w:tcBorders>
          </w:tcPr>
          <w:p w14:paraId="7E341862"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2F986363" w14:textId="77777777" w:rsidR="00246B76" w:rsidRPr="00B72BB9" w:rsidRDefault="00246B76" w:rsidP="00181211">
            <w:pPr>
              <w:spacing w:line="276" w:lineRule="auto"/>
              <w:rPr>
                <w:sz w:val="20"/>
                <w:szCs w:val="20"/>
              </w:rPr>
            </w:pPr>
            <w:r>
              <w:rPr>
                <w:sz w:val="20"/>
                <w:szCs w:val="20"/>
              </w:rPr>
              <w:t>Master</w:t>
            </w:r>
          </w:p>
        </w:tc>
        <w:tc>
          <w:tcPr>
            <w:tcW w:w="833" w:type="pct"/>
            <w:tcBorders>
              <w:top w:val="nil"/>
              <w:left w:val="nil"/>
              <w:bottom w:val="nil"/>
              <w:right w:val="nil"/>
            </w:tcBorders>
          </w:tcPr>
          <w:p w14:paraId="04298EAE" w14:textId="77777777" w:rsidR="00246B76" w:rsidRPr="00B72BB9" w:rsidRDefault="00246B76" w:rsidP="00181211">
            <w:pPr>
              <w:spacing w:line="276" w:lineRule="auto"/>
              <w:jc w:val="center"/>
              <w:rPr>
                <w:sz w:val="20"/>
                <w:szCs w:val="20"/>
              </w:rPr>
            </w:pPr>
            <w:r>
              <w:rPr>
                <w:sz w:val="20"/>
                <w:szCs w:val="20"/>
              </w:rPr>
              <w:t xml:space="preserve">20.2 </w:t>
            </w:r>
            <w:r w:rsidRPr="00C40718">
              <w:rPr>
                <w:sz w:val="20"/>
                <w:szCs w:val="20"/>
              </w:rPr>
              <w:t>±</w:t>
            </w:r>
            <w:r>
              <w:rPr>
                <w:sz w:val="20"/>
                <w:szCs w:val="20"/>
              </w:rPr>
              <w:t xml:space="preserve"> 6.7</w:t>
            </w:r>
          </w:p>
        </w:tc>
        <w:tc>
          <w:tcPr>
            <w:tcW w:w="833" w:type="pct"/>
            <w:tcBorders>
              <w:top w:val="nil"/>
              <w:left w:val="nil"/>
              <w:bottom w:val="nil"/>
              <w:right w:val="nil"/>
            </w:tcBorders>
          </w:tcPr>
          <w:p w14:paraId="49536827" w14:textId="77777777" w:rsidR="00246B76" w:rsidRDefault="00246B76" w:rsidP="00181211">
            <w:pPr>
              <w:spacing w:line="276" w:lineRule="auto"/>
              <w:jc w:val="center"/>
              <w:rPr>
                <w:sz w:val="20"/>
                <w:szCs w:val="20"/>
              </w:rPr>
            </w:pPr>
            <w:r>
              <w:rPr>
                <w:sz w:val="20"/>
                <w:szCs w:val="20"/>
              </w:rPr>
              <w:t xml:space="preserve">5.2 </w:t>
            </w:r>
            <w:r w:rsidRPr="00C40718">
              <w:rPr>
                <w:sz w:val="20"/>
                <w:szCs w:val="20"/>
              </w:rPr>
              <w:t>±</w:t>
            </w:r>
            <w:r>
              <w:rPr>
                <w:sz w:val="20"/>
                <w:szCs w:val="20"/>
              </w:rPr>
              <w:t xml:space="preserve"> 2.1</w:t>
            </w:r>
          </w:p>
        </w:tc>
        <w:tc>
          <w:tcPr>
            <w:tcW w:w="833" w:type="pct"/>
            <w:tcBorders>
              <w:top w:val="nil"/>
              <w:left w:val="nil"/>
              <w:bottom w:val="nil"/>
              <w:right w:val="nil"/>
            </w:tcBorders>
          </w:tcPr>
          <w:p w14:paraId="1FCF69D3" w14:textId="77777777" w:rsidR="00246B76" w:rsidRPr="00B72BB9" w:rsidRDefault="00246B76" w:rsidP="00181211">
            <w:pPr>
              <w:spacing w:line="276" w:lineRule="auto"/>
              <w:jc w:val="center"/>
              <w:rPr>
                <w:sz w:val="20"/>
                <w:szCs w:val="20"/>
              </w:rPr>
            </w:pPr>
            <w:r>
              <w:rPr>
                <w:sz w:val="20"/>
                <w:szCs w:val="20"/>
              </w:rPr>
              <w:t xml:space="preserve">28.7 </w:t>
            </w:r>
            <w:r w:rsidRPr="00C40718">
              <w:rPr>
                <w:sz w:val="20"/>
                <w:szCs w:val="20"/>
              </w:rPr>
              <w:t>±</w:t>
            </w:r>
            <w:r>
              <w:rPr>
                <w:sz w:val="20"/>
                <w:szCs w:val="20"/>
              </w:rPr>
              <w:t xml:space="preserve"> 7.8</w:t>
            </w:r>
          </w:p>
        </w:tc>
        <w:tc>
          <w:tcPr>
            <w:tcW w:w="836" w:type="pct"/>
            <w:tcBorders>
              <w:top w:val="nil"/>
              <w:left w:val="nil"/>
              <w:bottom w:val="nil"/>
              <w:right w:val="nil"/>
            </w:tcBorders>
          </w:tcPr>
          <w:p w14:paraId="731B8C54" w14:textId="77777777" w:rsidR="00246B76" w:rsidRPr="00B72BB9" w:rsidRDefault="00246B76" w:rsidP="00181211">
            <w:pPr>
              <w:spacing w:line="276" w:lineRule="auto"/>
              <w:jc w:val="center"/>
              <w:rPr>
                <w:sz w:val="20"/>
                <w:szCs w:val="20"/>
              </w:rPr>
            </w:pPr>
            <w:r>
              <w:rPr>
                <w:sz w:val="20"/>
                <w:szCs w:val="20"/>
              </w:rPr>
              <w:t xml:space="preserve">47.2 </w:t>
            </w:r>
            <w:r w:rsidRPr="00C40718">
              <w:rPr>
                <w:sz w:val="20"/>
                <w:szCs w:val="20"/>
              </w:rPr>
              <w:t>±</w:t>
            </w:r>
            <w:r>
              <w:rPr>
                <w:sz w:val="20"/>
                <w:szCs w:val="20"/>
              </w:rPr>
              <w:t xml:space="preserve"> 15.4</w:t>
            </w:r>
          </w:p>
        </w:tc>
      </w:tr>
      <w:tr w:rsidR="00246B76" w:rsidRPr="00B72BB9" w14:paraId="3D2A3FDE" w14:textId="77777777" w:rsidTr="00181211">
        <w:trPr>
          <w:trHeight w:val="391"/>
        </w:trPr>
        <w:tc>
          <w:tcPr>
            <w:tcW w:w="833" w:type="pct"/>
            <w:tcBorders>
              <w:top w:val="nil"/>
              <w:left w:val="nil"/>
              <w:bottom w:val="nil"/>
              <w:right w:val="nil"/>
            </w:tcBorders>
          </w:tcPr>
          <w:p w14:paraId="6BCE81EA"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6C5AE080" w14:textId="77777777" w:rsidR="00246B76" w:rsidRPr="00B72BB9" w:rsidRDefault="00246B76" w:rsidP="00181211">
            <w:pPr>
              <w:spacing w:line="276" w:lineRule="auto"/>
              <w:rPr>
                <w:sz w:val="20"/>
                <w:szCs w:val="20"/>
              </w:rPr>
            </w:pPr>
            <w:r>
              <w:rPr>
                <w:sz w:val="20"/>
                <w:szCs w:val="20"/>
              </w:rPr>
              <w:t>Emerald I</w:t>
            </w:r>
          </w:p>
        </w:tc>
        <w:tc>
          <w:tcPr>
            <w:tcW w:w="833" w:type="pct"/>
            <w:tcBorders>
              <w:top w:val="nil"/>
              <w:left w:val="nil"/>
              <w:bottom w:val="nil"/>
              <w:right w:val="nil"/>
            </w:tcBorders>
          </w:tcPr>
          <w:p w14:paraId="75636E08" w14:textId="77777777" w:rsidR="00246B76" w:rsidRPr="00B72BB9" w:rsidRDefault="00246B76" w:rsidP="00181211">
            <w:pPr>
              <w:spacing w:line="276" w:lineRule="auto"/>
              <w:jc w:val="center"/>
              <w:rPr>
                <w:sz w:val="20"/>
                <w:szCs w:val="20"/>
              </w:rPr>
            </w:pPr>
            <w:r>
              <w:rPr>
                <w:sz w:val="20"/>
                <w:szCs w:val="20"/>
              </w:rPr>
              <w:t xml:space="preserve">20.7 </w:t>
            </w:r>
            <w:r w:rsidRPr="00C40718">
              <w:rPr>
                <w:sz w:val="20"/>
                <w:szCs w:val="20"/>
              </w:rPr>
              <w:t>±</w:t>
            </w:r>
            <w:r>
              <w:rPr>
                <w:sz w:val="20"/>
                <w:szCs w:val="20"/>
              </w:rPr>
              <w:t xml:space="preserve"> 8.0</w:t>
            </w:r>
          </w:p>
        </w:tc>
        <w:tc>
          <w:tcPr>
            <w:tcW w:w="833" w:type="pct"/>
            <w:tcBorders>
              <w:top w:val="nil"/>
              <w:left w:val="nil"/>
              <w:bottom w:val="nil"/>
              <w:right w:val="nil"/>
            </w:tcBorders>
          </w:tcPr>
          <w:p w14:paraId="02811987" w14:textId="77777777" w:rsidR="00246B76" w:rsidRDefault="00246B76" w:rsidP="00181211">
            <w:pPr>
              <w:spacing w:line="276" w:lineRule="auto"/>
              <w:jc w:val="center"/>
              <w:rPr>
                <w:sz w:val="20"/>
                <w:szCs w:val="20"/>
              </w:rPr>
            </w:pPr>
            <w:r>
              <w:rPr>
                <w:sz w:val="20"/>
                <w:szCs w:val="20"/>
              </w:rPr>
              <w:t xml:space="preserve">4.8 </w:t>
            </w:r>
            <w:r w:rsidRPr="00C40718">
              <w:rPr>
                <w:sz w:val="20"/>
                <w:szCs w:val="20"/>
              </w:rPr>
              <w:t>±</w:t>
            </w:r>
            <w:r>
              <w:rPr>
                <w:sz w:val="20"/>
                <w:szCs w:val="20"/>
              </w:rPr>
              <w:t xml:space="preserve"> 2.0</w:t>
            </w:r>
          </w:p>
        </w:tc>
        <w:tc>
          <w:tcPr>
            <w:tcW w:w="833" w:type="pct"/>
            <w:tcBorders>
              <w:top w:val="nil"/>
              <w:left w:val="nil"/>
              <w:bottom w:val="nil"/>
              <w:right w:val="nil"/>
            </w:tcBorders>
          </w:tcPr>
          <w:p w14:paraId="2DBD03D2" w14:textId="77777777" w:rsidR="00246B76" w:rsidRPr="00B72BB9" w:rsidRDefault="00246B76" w:rsidP="00181211">
            <w:pPr>
              <w:spacing w:line="276" w:lineRule="auto"/>
              <w:jc w:val="center"/>
              <w:rPr>
                <w:sz w:val="20"/>
                <w:szCs w:val="20"/>
              </w:rPr>
            </w:pPr>
            <w:r>
              <w:rPr>
                <w:sz w:val="20"/>
                <w:szCs w:val="20"/>
              </w:rPr>
              <w:t xml:space="preserve">26.4 </w:t>
            </w:r>
            <w:r w:rsidRPr="00C40718">
              <w:rPr>
                <w:sz w:val="20"/>
                <w:szCs w:val="20"/>
              </w:rPr>
              <w:t>±</w:t>
            </w:r>
            <w:r>
              <w:rPr>
                <w:sz w:val="20"/>
                <w:szCs w:val="20"/>
              </w:rPr>
              <w:t xml:space="preserve"> 10.3</w:t>
            </w:r>
          </w:p>
        </w:tc>
        <w:tc>
          <w:tcPr>
            <w:tcW w:w="836" w:type="pct"/>
            <w:tcBorders>
              <w:top w:val="nil"/>
              <w:left w:val="nil"/>
              <w:bottom w:val="nil"/>
              <w:right w:val="nil"/>
            </w:tcBorders>
          </w:tcPr>
          <w:p w14:paraId="47485679" w14:textId="77777777" w:rsidR="00246B76" w:rsidRPr="00B72BB9" w:rsidRDefault="00246B76" w:rsidP="00181211">
            <w:pPr>
              <w:spacing w:line="276" w:lineRule="auto"/>
              <w:jc w:val="center"/>
              <w:rPr>
                <w:sz w:val="20"/>
                <w:szCs w:val="20"/>
              </w:rPr>
            </w:pPr>
            <w:r>
              <w:rPr>
                <w:sz w:val="20"/>
                <w:szCs w:val="20"/>
              </w:rPr>
              <w:t xml:space="preserve">43.4 </w:t>
            </w:r>
            <w:r w:rsidRPr="00C40718">
              <w:rPr>
                <w:sz w:val="20"/>
                <w:szCs w:val="20"/>
              </w:rPr>
              <w:t>±</w:t>
            </w:r>
            <w:r>
              <w:rPr>
                <w:sz w:val="20"/>
                <w:szCs w:val="20"/>
              </w:rPr>
              <w:t xml:space="preserve"> 15.4</w:t>
            </w:r>
          </w:p>
        </w:tc>
      </w:tr>
      <w:tr w:rsidR="00246B76" w:rsidRPr="00B72BB9" w14:paraId="38329610" w14:textId="77777777" w:rsidTr="00181211">
        <w:trPr>
          <w:trHeight w:val="340"/>
        </w:trPr>
        <w:tc>
          <w:tcPr>
            <w:tcW w:w="833" w:type="pct"/>
            <w:tcBorders>
              <w:top w:val="nil"/>
              <w:left w:val="nil"/>
              <w:bottom w:val="nil"/>
              <w:right w:val="nil"/>
            </w:tcBorders>
          </w:tcPr>
          <w:p w14:paraId="18E0EE4F" w14:textId="77777777" w:rsidR="00246B76" w:rsidRPr="00B72BB9" w:rsidRDefault="00246B76" w:rsidP="00181211">
            <w:pPr>
              <w:spacing w:line="276" w:lineRule="auto"/>
              <w:rPr>
                <w:sz w:val="20"/>
                <w:szCs w:val="20"/>
              </w:rPr>
            </w:pPr>
            <w:r>
              <w:rPr>
                <w:sz w:val="20"/>
                <w:szCs w:val="20"/>
              </w:rPr>
              <w:t>RU</w:t>
            </w:r>
          </w:p>
        </w:tc>
        <w:tc>
          <w:tcPr>
            <w:tcW w:w="832" w:type="pct"/>
            <w:tcBorders>
              <w:top w:val="nil"/>
              <w:left w:val="nil"/>
              <w:bottom w:val="nil"/>
              <w:right w:val="nil"/>
            </w:tcBorders>
          </w:tcPr>
          <w:p w14:paraId="08230B31" w14:textId="77777777" w:rsidR="00246B76" w:rsidRPr="00B72BB9" w:rsidRDefault="00246B76" w:rsidP="00181211">
            <w:pPr>
              <w:spacing w:line="276" w:lineRule="auto"/>
              <w:rPr>
                <w:sz w:val="20"/>
                <w:szCs w:val="20"/>
              </w:rPr>
            </w:pPr>
            <w:r>
              <w:rPr>
                <w:sz w:val="20"/>
                <w:szCs w:val="20"/>
              </w:rPr>
              <w:t>Challenger</w:t>
            </w:r>
          </w:p>
        </w:tc>
        <w:tc>
          <w:tcPr>
            <w:tcW w:w="833" w:type="pct"/>
            <w:tcBorders>
              <w:top w:val="nil"/>
              <w:left w:val="nil"/>
              <w:bottom w:val="nil"/>
              <w:right w:val="nil"/>
            </w:tcBorders>
          </w:tcPr>
          <w:p w14:paraId="43711D02" w14:textId="77777777" w:rsidR="00246B76" w:rsidRPr="00B72BB9" w:rsidRDefault="00246B76" w:rsidP="00181211">
            <w:pPr>
              <w:spacing w:line="276" w:lineRule="auto"/>
              <w:jc w:val="center"/>
              <w:rPr>
                <w:sz w:val="20"/>
                <w:szCs w:val="20"/>
              </w:rPr>
            </w:pPr>
            <w:r>
              <w:rPr>
                <w:sz w:val="20"/>
                <w:szCs w:val="20"/>
              </w:rPr>
              <w:t xml:space="preserve">20.3 </w:t>
            </w:r>
            <w:r w:rsidRPr="00C40718">
              <w:rPr>
                <w:sz w:val="20"/>
                <w:szCs w:val="20"/>
              </w:rPr>
              <w:t>±</w:t>
            </w:r>
            <w:r>
              <w:rPr>
                <w:sz w:val="20"/>
                <w:szCs w:val="20"/>
              </w:rPr>
              <w:t xml:space="preserve"> 6.7</w:t>
            </w:r>
          </w:p>
        </w:tc>
        <w:tc>
          <w:tcPr>
            <w:tcW w:w="833" w:type="pct"/>
            <w:tcBorders>
              <w:top w:val="nil"/>
              <w:left w:val="nil"/>
              <w:bottom w:val="nil"/>
              <w:right w:val="nil"/>
            </w:tcBorders>
          </w:tcPr>
          <w:p w14:paraId="6572B722" w14:textId="77777777" w:rsidR="00246B76" w:rsidRDefault="00246B76" w:rsidP="00181211">
            <w:pPr>
              <w:spacing w:line="276" w:lineRule="auto"/>
              <w:jc w:val="center"/>
              <w:rPr>
                <w:sz w:val="20"/>
                <w:szCs w:val="20"/>
              </w:rPr>
            </w:pPr>
            <w:r>
              <w:rPr>
                <w:sz w:val="20"/>
                <w:szCs w:val="20"/>
              </w:rPr>
              <w:t xml:space="preserve">5.3 </w:t>
            </w:r>
            <w:r w:rsidRPr="00C40718">
              <w:rPr>
                <w:sz w:val="20"/>
                <w:szCs w:val="20"/>
              </w:rPr>
              <w:t>±</w:t>
            </w:r>
            <w:r>
              <w:rPr>
                <w:sz w:val="20"/>
                <w:szCs w:val="20"/>
              </w:rPr>
              <w:t xml:space="preserve"> 2.1</w:t>
            </w:r>
          </w:p>
        </w:tc>
        <w:tc>
          <w:tcPr>
            <w:tcW w:w="833" w:type="pct"/>
            <w:tcBorders>
              <w:top w:val="nil"/>
              <w:left w:val="nil"/>
              <w:bottom w:val="nil"/>
              <w:right w:val="nil"/>
            </w:tcBorders>
          </w:tcPr>
          <w:p w14:paraId="7CE87248" w14:textId="77777777" w:rsidR="00246B76" w:rsidRPr="00B72BB9" w:rsidRDefault="00246B76" w:rsidP="00181211">
            <w:pPr>
              <w:spacing w:line="276" w:lineRule="auto"/>
              <w:jc w:val="center"/>
              <w:rPr>
                <w:sz w:val="20"/>
                <w:szCs w:val="20"/>
              </w:rPr>
            </w:pPr>
            <w:r>
              <w:rPr>
                <w:sz w:val="20"/>
                <w:szCs w:val="20"/>
              </w:rPr>
              <w:t xml:space="preserve">29.9 </w:t>
            </w:r>
            <w:r w:rsidRPr="00C40718">
              <w:rPr>
                <w:sz w:val="20"/>
                <w:szCs w:val="20"/>
              </w:rPr>
              <w:t>±</w:t>
            </w:r>
            <w:r>
              <w:rPr>
                <w:sz w:val="20"/>
                <w:szCs w:val="20"/>
              </w:rPr>
              <w:t xml:space="preserve"> 8.8</w:t>
            </w:r>
          </w:p>
        </w:tc>
        <w:tc>
          <w:tcPr>
            <w:tcW w:w="836" w:type="pct"/>
            <w:tcBorders>
              <w:top w:val="nil"/>
              <w:left w:val="nil"/>
              <w:bottom w:val="nil"/>
              <w:right w:val="nil"/>
            </w:tcBorders>
          </w:tcPr>
          <w:p w14:paraId="7C7539AD" w14:textId="77777777" w:rsidR="00246B76" w:rsidRPr="00B72BB9" w:rsidRDefault="00246B76" w:rsidP="00181211">
            <w:pPr>
              <w:spacing w:line="276" w:lineRule="auto"/>
              <w:jc w:val="center"/>
              <w:rPr>
                <w:sz w:val="20"/>
                <w:szCs w:val="20"/>
              </w:rPr>
            </w:pPr>
            <w:r>
              <w:rPr>
                <w:sz w:val="20"/>
                <w:szCs w:val="20"/>
              </w:rPr>
              <w:t xml:space="preserve">47.3 </w:t>
            </w:r>
            <w:r w:rsidRPr="00C40718">
              <w:rPr>
                <w:sz w:val="20"/>
                <w:szCs w:val="20"/>
              </w:rPr>
              <w:t>±</w:t>
            </w:r>
            <w:r>
              <w:rPr>
                <w:sz w:val="20"/>
                <w:szCs w:val="20"/>
              </w:rPr>
              <w:t xml:space="preserve"> 11.8</w:t>
            </w:r>
          </w:p>
        </w:tc>
      </w:tr>
      <w:tr w:rsidR="00246B76" w:rsidRPr="00B72BB9" w14:paraId="42E227EE" w14:textId="77777777" w:rsidTr="00181211">
        <w:trPr>
          <w:trHeight w:val="340"/>
        </w:trPr>
        <w:tc>
          <w:tcPr>
            <w:tcW w:w="833" w:type="pct"/>
            <w:tcBorders>
              <w:top w:val="nil"/>
              <w:left w:val="nil"/>
              <w:bottom w:val="nil"/>
              <w:right w:val="nil"/>
            </w:tcBorders>
          </w:tcPr>
          <w:p w14:paraId="07B3B32A"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13ED1373" w14:textId="77777777" w:rsidR="00246B76" w:rsidRPr="00B72BB9" w:rsidRDefault="00246B76" w:rsidP="00181211">
            <w:pPr>
              <w:spacing w:line="276" w:lineRule="auto"/>
              <w:rPr>
                <w:sz w:val="20"/>
                <w:szCs w:val="20"/>
              </w:rPr>
            </w:pPr>
            <w:r>
              <w:rPr>
                <w:sz w:val="20"/>
                <w:szCs w:val="20"/>
              </w:rPr>
              <w:t>Grandmaster</w:t>
            </w:r>
          </w:p>
        </w:tc>
        <w:tc>
          <w:tcPr>
            <w:tcW w:w="833" w:type="pct"/>
            <w:tcBorders>
              <w:top w:val="nil"/>
              <w:left w:val="nil"/>
              <w:bottom w:val="nil"/>
              <w:right w:val="nil"/>
            </w:tcBorders>
          </w:tcPr>
          <w:p w14:paraId="090FD74E" w14:textId="77777777" w:rsidR="00246B76" w:rsidRPr="00B72BB9" w:rsidRDefault="00246B76" w:rsidP="00181211">
            <w:pPr>
              <w:spacing w:line="276" w:lineRule="auto"/>
              <w:jc w:val="center"/>
              <w:rPr>
                <w:sz w:val="20"/>
                <w:szCs w:val="20"/>
              </w:rPr>
            </w:pPr>
            <w:r>
              <w:rPr>
                <w:sz w:val="20"/>
                <w:szCs w:val="20"/>
              </w:rPr>
              <w:t xml:space="preserve">23.2 </w:t>
            </w:r>
            <w:r w:rsidRPr="00C40718">
              <w:rPr>
                <w:sz w:val="20"/>
                <w:szCs w:val="20"/>
              </w:rPr>
              <w:t>±</w:t>
            </w:r>
            <w:r>
              <w:rPr>
                <w:sz w:val="20"/>
                <w:szCs w:val="20"/>
              </w:rPr>
              <w:t xml:space="preserve"> 8.5</w:t>
            </w:r>
          </w:p>
        </w:tc>
        <w:tc>
          <w:tcPr>
            <w:tcW w:w="833" w:type="pct"/>
            <w:tcBorders>
              <w:top w:val="nil"/>
              <w:left w:val="nil"/>
              <w:bottom w:val="nil"/>
              <w:right w:val="nil"/>
            </w:tcBorders>
          </w:tcPr>
          <w:p w14:paraId="3FC38B7A" w14:textId="77777777" w:rsidR="00246B76" w:rsidRDefault="00246B76" w:rsidP="00181211">
            <w:pPr>
              <w:spacing w:line="276" w:lineRule="auto"/>
              <w:jc w:val="center"/>
              <w:rPr>
                <w:sz w:val="20"/>
                <w:szCs w:val="20"/>
              </w:rPr>
            </w:pPr>
            <w:r>
              <w:rPr>
                <w:sz w:val="20"/>
                <w:szCs w:val="20"/>
              </w:rPr>
              <w:t xml:space="preserve">5.3 </w:t>
            </w:r>
            <w:r w:rsidRPr="00C40718">
              <w:rPr>
                <w:sz w:val="20"/>
                <w:szCs w:val="20"/>
              </w:rPr>
              <w:t>±</w:t>
            </w:r>
            <w:r>
              <w:rPr>
                <w:sz w:val="20"/>
                <w:szCs w:val="20"/>
              </w:rPr>
              <w:t xml:space="preserve"> 2.2</w:t>
            </w:r>
          </w:p>
        </w:tc>
        <w:tc>
          <w:tcPr>
            <w:tcW w:w="833" w:type="pct"/>
            <w:tcBorders>
              <w:top w:val="nil"/>
              <w:left w:val="nil"/>
              <w:bottom w:val="nil"/>
              <w:right w:val="nil"/>
            </w:tcBorders>
          </w:tcPr>
          <w:p w14:paraId="4BCA8D61" w14:textId="77777777" w:rsidR="00246B76" w:rsidRPr="00B72BB9" w:rsidRDefault="00246B76" w:rsidP="00181211">
            <w:pPr>
              <w:spacing w:line="276" w:lineRule="auto"/>
              <w:jc w:val="center"/>
              <w:rPr>
                <w:sz w:val="20"/>
                <w:szCs w:val="20"/>
              </w:rPr>
            </w:pPr>
            <w:r>
              <w:rPr>
                <w:sz w:val="20"/>
                <w:szCs w:val="20"/>
              </w:rPr>
              <w:t xml:space="preserve">25.7 </w:t>
            </w:r>
            <w:r w:rsidRPr="00C40718">
              <w:rPr>
                <w:sz w:val="20"/>
                <w:szCs w:val="20"/>
              </w:rPr>
              <w:t>±</w:t>
            </w:r>
            <w:r>
              <w:rPr>
                <w:sz w:val="20"/>
                <w:szCs w:val="20"/>
              </w:rPr>
              <w:t xml:space="preserve"> 9.5</w:t>
            </w:r>
          </w:p>
        </w:tc>
        <w:tc>
          <w:tcPr>
            <w:tcW w:w="836" w:type="pct"/>
            <w:tcBorders>
              <w:top w:val="nil"/>
              <w:left w:val="nil"/>
              <w:bottom w:val="nil"/>
              <w:right w:val="nil"/>
            </w:tcBorders>
          </w:tcPr>
          <w:p w14:paraId="349E95B6" w14:textId="77777777" w:rsidR="00246B76" w:rsidRPr="00B72BB9" w:rsidRDefault="00246B76" w:rsidP="00181211">
            <w:pPr>
              <w:spacing w:line="276" w:lineRule="auto"/>
              <w:jc w:val="center"/>
              <w:rPr>
                <w:sz w:val="20"/>
                <w:szCs w:val="20"/>
              </w:rPr>
            </w:pPr>
            <w:r>
              <w:rPr>
                <w:sz w:val="20"/>
                <w:szCs w:val="20"/>
              </w:rPr>
              <w:t xml:space="preserve">40.9 </w:t>
            </w:r>
            <w:r w:rsidRPr="00C40718">
              <w:rPr>
                <w:sz w:val="20"/>
                <w:szCs w:val="20"/>
              </w:rPr>
              <w:t>±</w:t>
            </w:r>
            <w:r>
              <w:rPr>
                <w:sz w:val="20"/>
                <w:szCs w:val="20"/>
              </w:rPr>
              <w:t xml:space="preserve"> 12.3</w:t>
            </w:r>
          </w:p>
        </w:tc>
      </w:tr>
      <w:tr w:rsidR="00246B76" w:rsidRPr="00B72BB9" w14:paraId="7838578E" w14:textId="77777777" w:rsidTr="00181211">
        <w:trPr>
          <w:trHeight w:val="340"/>
        </w:trPr>
        <w:tc>
          <w:tcPr>
            <w:tcW w:w="833" w:type="pct"/>
            <w:tcBorders>
              <w:top w:val="nil"/>
              <w:left w:val="nil"/>
              <w:bottom w:val="nil"/>
              <w:right w:val="nil"/>
            </w:tcBorders>
          </w:tcPr>
          <w:p w14:paraId="7922B3DE"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435B46C1" w14:textId="77777777" w:rsidR="00246B76" w:rsidRPr="00B72BB9" w:rsidRDefault="00246B76" w:rsidP="00181211">
            <w:pPr>
              <w:spacing w:line="276" w:lineRule="auto"/>
              <w:rPr>
                <w:sz w:val="20"/>
                <w:szCs w:val="20"/>
              </w:rPr>
            </w:pPr>
            <w:r>
              <w:rPr>
                <w:sz w:val="20"/>
                <w:szCs w:val="20"/>
              </w:rPr>
              <w:t>Master</w:t>
            </w:r>
          </w:p>
        </w:tc>
        <w:tc>
          <w:tcPr>
            <w:tcW w:w="833" w:type="pct"/>
            <w:tcBorders>
              <w:top w:val="nil"/>
              <w:left w:val="nil"/>
              <w:bottom w:val="nil"/>
              <w:right w:val="nil"/>
            </w:tcBorders>
          </w:tcPr>
          <w:p w14:paraId="1FB644BD" w14:textId="77777777" w:rsidR="00246B76" w:rsidRPr="00B72BB9" w:rsidRDefault="00246B76" w:rsidP="00181211">
            <w:pPr>
              <w:spacing w:line="276" w:lineRule="auto"/>
              <w:jc w:val="center"/>
              <w:rPr>
                <w:sz w:val="20"/>
                <w:szCs w:val="20"/>
              </w:rPr>
            </w:pPr>
            <w:r>
              <w:rPr>
                <w:sz w:val="20"/>
                <w:szCs w:val="20"/>
              </w:rPr>
              <w:t xml:space="preserve">22.8 </w:t>
            </w:r>
            <w:r w:rsidRPr="00C40718">
              <w:rPr>
                <w:sz w:val="20"/>
                <w:szCs w:val="20"/>
              </w:rPr>
              <w:t>±</w:t>
            </w:r>
            <w:r>
              <w:rPr>
                <w:sz w:val="20"/>
                <w:szCs w:val="20"/>
              </w:rPr>
              <w:t xml:space="preserve"> 8.0</w:t>
            </w:r>
          </w:p>
        </w:tc>
        <w:tc>
          <w:tcPr>
            <w:tcW w:w="833" w:type="pct"/>
            <w:tcBorders>
              <w:top w:val="nil"/>
              <w:left w:val="nil"/>
              <w:bottom w:val="nil"/>
              <w:right w:val="nil"/>
            </w:tcBorders>
          </w:tcPr>
          <w:p w14:paraId="2E77CC58" w14:textId="77777777" w:rsidR="00246B76" w:rsidRDefault="00246B76" w:rsidP="00181211">
            <w:pPr>
              <w:spacing w:line="276" w:lineRule="auto"/>
              <w:jc w:val="center"/>
              <w:rPr>
                <w:sz w:val="20"/>
                <w:szCs w:val="20"/>
              </w:rPr>
            </w:pPr>
            <w:r>
              <w:rPr>
                <w:sz w:val="20"/>
                <w:szCs w:val="20"/>
              </w:rPr>
              <w:t xml:space="preserve">5.6 </w:t>
            </w:r>
            <w:r w:rsidRPr="00C40718">
              <w:rPr>
                <w:sz w:val="20"/>
                <w:szCs w:val="20"/>
              </w:rPr>
              <w:t>±</w:t>
            </w:r>
            <w:r>
              <w:rPr>
                <w:sz w:val="20"/>
                <w:szCs w:val="20"/>
              </w:rPr>
              <w:t xml:space="preserve"> 1.7</w:t>
            </w:r>
          </w:p>
        </w:tc>
        <w:tc>
          <w:tcPr>
            <w:tcW w:w="833" w:type="pct"/>
            <w:tcBorders>
              <w:top w:val="nil"/>
              <w:left w:val="nil"/>
              <w:bottom w:val="nil"/>
              <w:right w:val="nil"/>
            </w:tcBorders>
          </w:tcPr>
          <w:p w14:paraId="44E722F6" w14:textId="77777777" w:rsidR="00246B76" w:rsidRPr="00B72BB9" w:rsidRDefault="00246B76" w:rsidP="00181211">
            <w:pPr>
              <w:spacing w:line="276" w:lineRule="auto"/>
              <w:jc w:val="center"/>
              <w:rPr>
                <w:sz w:val="20"/>
                <w:szCs w:val="20"/>
              </w:rPr>
            </w:pPr>
            <w:r>
              <w:rPr>
                <w:sz w:val="20"/>
                <w:szCs w:val="20"/>
              </w:rPr>
              <w:t xml:space="preserve">26.8 </w:t>
            </w:r>
            <w:r w:rsidRPr="00C40718">
              <w:rPr>
                <w:sz w:val="20"/>
                <w:szCs w:val="20"/>
              </w:rPr>
              <w:t>±</w:t>
            </w:r>
            <w:r>
              <w:rPr>
                <w:sz w:val="20"/>
                <w:szCs w:val="20"/>
              </w:rPr>
              <w:t xml:space="preserve"> 9.5</w:t>
            </w:r>
          </w:p>
        </w:tc>
        <w:tc>
          <w:tcPr>
            <w:tcW w:w="836" w:type="pct"/>
            <w:tcBorders>
              <w:top w:val="nil"/>
              <w:left w:val="nil"/>
              <w:bottom w:val="nil"/>
              <w:right w:val="nil"/>
            </w:tcBorders>
          </w:tcPr>
          <w:p w14:paraId="72350CC8" w14:textId="77777777" w:rsidR="00246B76" w:rsidRPr="00B72BB9" w:rsidRDefault="00246B76" w:rsidP="00181211">
            <w:pPr>
              <w:spacing w:line="276" w:lineRule="auto"/>
              <w:jc w:val="center"/>
              <w:rPr>
                <w:sz w:val="20"/>
                <w:szCs w:val="20"/>
              </w:rPr>
            </w:pPr>
            <w:r>
              <w:rPr>
                <w:sz w:val="20"/>
                <w:szCs w:val="20"/>
              </w:rPr>
              <w:t xml:space="preserve">42.3 </w:t>
            </w:r>
            <w:r w:rsidRPr="00C40718">
              <w:rPr>
                <w:sz w:val="20"/>
                <w:szCs w:val="20"/>
              </w:rPr>
              <w:t>±</w:t>
            </w:r>
            <w:r>
              <w:rPr>
                <w:sz w:val="20"/>
                <w:szCs w:val="20"/>
              </w:rPr>
              <w:t xml:space="preserve"> 15.2</w:t>
            </w:r>
          </w:p>
        </w:tc>
      </w:tr>
      <w:tr w:rsidR="00246B76" w:rsidRPr="00B72BB9" w14:paraId="1B0CBBE5" w14:textId="77777777" w:rsidTr="00181211">
        <w:trPr>
          <w:trHeight w:val="410"/>
        </w:trPr>
        <w:tc>
          <w:tcPr>
            <w:tcW w:w="833" w:type="pct"/>
            <w:tcBorders>
              <w:top w:val="nil"/>
              <w:left w:val="nil"/>
              <w:bottom w:val="nil"/>
              <w:right w:val="nil"/>
            </w:tcBorders>
          </w:tcPr>
          <w:p w14:paraId="2483C904" w14:textId="77777777" w:rsidR="00246B76" w:rsidRPr="00B72BB9" w:rsidRDefault="00246B76" w:rsidP="00181211">
            <w:pPr>
              <w:spacing w:line="276" w:lineRule="auto"/>
              <w:rPr>
                <w:sz w:val="20"/>
                <w:szCs w:val="20"/>
              </w:rPr>
            </w:pPr>
            <w:r>
              <w:rPr>
                <w:sz w:val="20"/>
                <w:szCs w:val="20"/>
              </w:rPr>
              <w:t xml:space="preserve"> </w:t>
            </w:r>
          </w:p>
        </w:tc>
        <w:tc>
          <w:tcPr>
            <w:tcW w:w="832" w:type="pct"/>
            <w:tcBorders>
              <w:top w:val="nil"/>
              <w:left w:val="nil"/>
              <w:bottom w:val="nil"/>
              <w:right w:val="nil"/>
            </w:tcBorders>
          </w:tcPr>
          <w:p w14:paraId="6EC35D9D" w14:textId="77777777" w:rsidR="00246B76" w:rsidRPr="00B72BB9" w:rsidRDefault="00246B76" w:rsidP="00181211">
            <w:pPr>
              <w:spacing w:line="276" w:lineRule="auto"/>
              <w:rPr>
                <w:sz w:val="20"/>
                <w:szCs w:val="20"/>
              </w:rPr>
            </w:pPr>
            <w:r>
              <w:rPr>
                <w:sz w:val="20"/>
                <w:szCs w:val="20"/>
              </w:rPr>
              <w:t>Emerald I</w:t>
            </w:r>
          </w:p>
        </w:tc>
        <w:tc>
          <w:tcPr>
            <w:tcW w:w="833" w:type="pct"/>
            <w:tcBorders>
              <w:top w:val="nil"/>
              <w:left w:val="nil"/>
              <w:bottom w:val="nil"/>
              <w:right w:val="nil"/>
            </w:tcBorders>
          </w:tcPr>
          <w:p w14:paraId="57EB54F5" w14:textId="77777777" w:rsidR="00246B76" w:rsidRPr="00B72BB9" w:rsidRDefault="00246B76" w:rsidP="00181211">
            <w:pPr>
              <w:spacing w:line="276" w:lineRule="auto"/>
              <w:jc w:val="center"/>
              <w:rPr>
                <w:sz w:val="20"/>
                <w:szCs w:val="20"/>
              </w:rPr>
            </w:pPr>
            <w:r>
              <w:rPr>
                <w:sz w:val="20"/>
                <w:szCs w:val="20"/>
              </w:rPr>
              <w:t xml:space="preserve">22.8 </w:t>
            </w:r>
            <w:r w:rsidRPr="00C40718">
              <w:rPr>
                <w:sz w:val="20"/>
                <w:szCs w:val="20"/>
              </w:rPr>
              <w:t>±</w:t>
            </w:r>
            <w:r>
              <w:rPr>
                <w:sz w:val="20"/>
                <w:szCs w:val="20"/>
              </w:rPr>
              <w:t xml:space="preserve"> 7.1</w:t>
            </w:r>
          </w:p>
        </w:tc>
        <w:tc>
          <w:tcPr>
            <w:tcW w:w="833" w:type="pct"/>
            <w:tcBorders>
              <w:top w:val="nil"/>
              <w:left w:val="nil"/>
              <w:bottom w:val="nil"/>
              <w:right w:val="nil"/>
            </w:tcBorders>
          </w:tcPr>
          <w:p w14:paraId="7A271DD5" w14:textId="77777777" w:rsidR="00246B76" w:rsidRDefault="00246B76" w:rsidP="00181211">
            <w:pPr>
              <w:spacing w:line="276" w:lineRule="auto"/>
              <w:jc w:val="center"/>
              <w:rPr>
                <w:sz w:val="20"/>
                <w:szCs w:val="20"/>
              </w:rPr>
            </w:pPr>
            <w:r>
              <w:rPr>
                <w:sz w:val="20"/>
                <w:szCs w:val="20"/>
              </w:rPr>
              <w:t xml:space="preserve">6.1 </w:t>
            </w:r>
            <w:r w:rsidRPr="00C40718">
              <w:rPr>
                <w:sz w:val="20"/>
                <w:szCs w:val="20"/>
              </w:rPr>
              <w:t>±</w:t>
            </w:r>
            <w:r>
              <w:rPr>
                <w:sz w:val="20"/>
                <w:szCs w:val="20"/>
              </w:rPr>
              <w:t xml:space="preserve"> 1.6</w:t>
            </w:r>
          </w:p>
        </w:tc>
        <w:tc>
          <w:tcPr>
            <w:tcW w:w="833" w:type="pct"/>
            <w:tcBorders>
              <w:top w:val="nil"/>
              <w:left w:val="nil"/>
              <w:bottom w:val="nil"/>
              <w:right w:val="nil"/>
            </w:tcBorders>
          </w:tcPr>
          <w:p w14:paraId="49B0649F" w14:textId="77777777" w:rsidR="00246B76" w:rsidRPr="00B72BB9" w:rsidRDefault="00246B76" w:rsidP="00181211">
            <w:pPr>
              <w:spacing w:line="276" w:lineRule="auto"/>
              <w:jc w:val="center"/>
              <w:rPr>
                <w:sz w:val="20"/>
                <w:szCs w:val="20"/>
              </w:rPr>
            </w:pPr>
            <w:r>
              <w:rPr>
                <w:sz w:val="20"/>
                <w:szCs w:val="20"/>
              </w:rPr>
              <w:t xml:space="preserve">25.3 </w:t>
            </w:r>
            <w:r w:rsidRPr="00C40718">
              <w:rPr>
                <w:sz w:val="20"/>
                <w:szCs w:val="20"/>
              </w:rPr>
              <w:t>±</w:t>
            </w:r>
            <w:r>
              <w:rPr>
                <w:sz w:val="20"/>
                <w:szCs w:val="20"/>
              </w:rPr>
              <w:t xml:space="preserve"> 10.1</w:t>
            </w:r>
          </w:p>
        </w:tc>
        <w:tc>
          <w:tcPr>
            <w:tcW w:w="836" w:type="pct"/>
            <w:tcBorders>
              <w:top w:val="nil"/>
              <w:left w:val="nil"/>
              <w:bottom w:val="nil"/>
              <w:right w:val="nil"/>
            </w:tcBorders>
          </w:tcPr>
          <w:p w14:paraId="0F110580" w14:textId="77777777" w:rsidR="00246B76" w:rsidRPr="00B72BB9" w:rsidRDefault="00246B76" w:rsidP="00181211">
            <w:pPr>
              <w:spacing w:line="276" w:lineRule="auto"/>
              <w:jc w:val="center"/>
              <w:rPr>
                <w:sz w:val="20"/>
                <w:szCs w:val="20"/>
              </w:rPr>
            </w:pPr>
            <w:r>
              <w:rPr>
                <w:sz w:val="20"/>
                <w:szCs w:val="20"/>
              </w:rPr>
              <w:t xml:space="preserve">43.3 </w:t>
            </w:r>
            <w:r w:rsidRPr="00C40718">
              <w:rPr>
                <w:sz w:val="20"/>
                <w:szCs w:val="20"/>
              </w:rPr>
              <w:t>±</w:t>
            </w:r>
            <w:r>
              <w:rPr>
                <w:sz w:val="20"/>
                <w:szCs w:val="20"/>
              </w:rPr>
              <w:t xml:space="preserve"> 17.3</w:t>
            </w:r>
          </w:p>
        </w:tc>
      </w:tr>
      <w:tr w:rsidR="00246B76" w:rsidRPr="00B72BB9" w14:paraId="687F63C3" w14:textId="77777777" w:rsidTr="00181211">
        <w:trPr>
          <w:trHeight w:val="340"/>
        </w:trPr>
        <w:tc>
          <w:tcPr>
            <w:tcW w:w="833" w:type="pct"/>
            <w:tcBorders>
              <w:top w:val="nil"/>
              <w:left w:val="nil"/>
              <w:bottom w:val="nil"/>
              <w:right w:val="nil"/>
            </w:tcBorders>
          </w:tcPr>
          <w:p w14:paraId="5291031A" w14:textId="77777777" w:rsidR="00246B76" w:rsidRPr="00B72BB9" w:rsidRDefault="00246B76" w:rsidP="00181211">
            <w:pPr>
              <w:spacing w:line="276" w:lineRule="auto"/>
              <w:rPr>
                <w:sz w:val="20"/>
                <w:szCs w:val="20"/>
              </w:rPr>
            </w:pPr>
            <w:r>
              <w:rPr>
                <w:sz w:val="20"/>
                <w:szCs w:val="20"/>
              </w:rPr>
              <w:t>SG2</w:t>
            </w:r>
          </w:p>
        </w:tc>
        <w:tc>
          <w:tcPr>
            <w:tcW w:w="832" w:type="pct"/>
            <w:tcBorders>
              <w:top w:val="nil"/>
              <w:left w:val="nil"/>
              <w:bottom w:val="nil"/>
              <w:right w:val="nil"/>
            </w:tcBorders>
          </w:tcPr>
          <w:p w14:paraId="2030DE27" w14:textId="77777777" w:rsidR="00246B76" w:rsidRPr="00B72BB9" w:rsidRDefault="00246B76" w:rsidP="00181211">
            <w:pPr>
              <w:spacing w:line="276" w:lineRule="auto"/>
              <w:rPr>
                <w:sz w:val="20"/>
                <w:szCs w:val="20"/>
              </w:rPr>
            </w:pPr>
            <w:r>
              <w:rPr>
                <w:sz w:val="20"/>
                <w:szCs w:val="20"/>
              </w:rPr>
              <w:t>Challenger</w:t>
            </w:r>
          </w:p>
        </w:tc>
        <w:tc>
          <w:tcPr>
            <w:tcW w:w="833" w:type="pct"/>
            <w:tcBorders>
              <w:top w:val="nil"/>
              <w:left w:val="nil"/>
              <w:bottom w:val="nil"/>
              <w:right w:val="nil"/>
            </w:tcBorders>
          </w:tcPr>
          <w:p w14:paraId="0DC7529E" w14:textId="77777777" w:rsidR="00246B76" w:rsidRPr="00B72BB9" w:rsidRDefault="00246B76" w:rsidP="00181211">
            <w:pPr>
              <w:spacing w:line="276" w:lineRule="auto"/>
              <w:jc w:val="center"/>
              <w:rPr>
                <w:sz w:val="20"/>
                <w:szCs w:val="20"/>
              </w:rPr>
            </w:pPr>
            <w:r>
              <w:rPr>
                <w:sz w:val="20"/>
                <w:szCs w:val="20"/>
              </w:rPr>
              <w:t xml:space="preserve">16.6 </w:t>
            </w:r>
            <w:r w:rsidRPr="00C40718">
              <w:rPr>
                <w:sz w:val="20"/>
                <w:szCs w:val="20"/>
              </w:rPr>
              <w:t>±</w:t>
            </w:r>
            <w:r>
              <w:rPr>
                <w:sz w:val="20"/>
                <w:szCs w:val="20"/>
              </w:rPr>
              <w:t xml:space="preserve"> 6.6</w:t>
            </w:r>
          </w:p>
        </w:tc>
        <w:tc>
          <w:tcPr>
            <w:tcW w:w="833" w:type="pct"/>
            <w:tcBorders>
              <w:top w:val="nil"/>
              <w:left w:val="nil"/>
              <w:bottom w:val="nil"/>
              <w:right w:val="nil"/>
            </w:tcBorders>
          </w:tcPr>
          <w:p w14:paraId="32B91FB6" w14:textId="77777777" w:rsidR="00246B76" w:rsidRDefault="00246B76" w:rsidP="00181211">
            <w:pPr>
              <w:spacing w:line="276" w:lineRule="auto"/>
              <w:jc w:val="center"/>
              <w:rPr>
                <w:sz w:val="20"/>
                <w:szCs w:val="20"/>
              </w:rPr>
            </w:pPr>
            <w:r>
              <w:rPr>
                <w:sz w:val="20"/>
                <w:szCs w:val="20"/>
              </w:rPr>
              <w:t xml:space="preserve">3.3 </w:t>
            </w:r>
            <w:r w:rsidRPr="00C40718">
              <w:rPr>
                <w:sz w:val="20"/>
                <w:szCs w:val="20"/>
              </w:rPr>
              <w:t>±</w:t>
            </w:r>
            <w:r>
              <w:rPr>
                <w:sz w:val="20"/>
                <w:szCs w:val="20"/>
              </w:rPr>
              <w:t xml:space="preserve"> 2.5</w:t>
            </w:r>
          </w:p>
        </w:tc>
        <w:tc>
          <w:tcPr>
            <w:tcW w:w="833" w:type="pct"/>
            <w:tcBorders>
              <w:top w:val="nil"/>
              <w:left w:val="nil"/>
              <w:bottom w:val="nil"/>
              <w:right w:val="nil"/>
            </w:tcBorders>
          </w:tcPr>
          <w:p w14:paraId="03025852" w14:textId="77777777" w:rsidR="00246B76" w:rsidRPr="00B72BB9" w:rsidRDefault="00246B76" w:rsidP="00181211">
            <w:pPr>
              <w:spacing w:line="276" w:lineRule="auto"/>
              <w:jc w:val="center"/>
              <w:rPr>
                <w:sz w:val="20"/>
                <w:szCs w:val="20"/>
              </w:rPr>
            </w:pPr>
            <w:r>
              <w:rPr>
                <w:sz w:val="20"/>
                <w:szCs w:val="20"/>
              </w:rPr>
              <w:t xml:space="preserve">34.8 </w:t>
            </w:r>
            <w:r w:rsidRPr="00C40718">
              <w:rPr>
                <w:sz w:val="20"/>
                <w:szCs w:val="20"/>
              </w:rPr>
              <w:t>±</w:t>
            </w:r>
            <w:r>
              <w:rPr>
                <w:sz w:val="20"/>
                <w:szCs w:val="20"/>
              </w:rPr>
              <w:t xml:space="preserve"> 8.1</w:t>
            </w:r>
          </w:p>
        </w:tc>
        <w:tc>
          <w:tcPr>
            <w:tcW w:w="836" w:type="pct"/>
            <w:tcBorders>
              <w:top w:val="nil"/>
              <w:left w:val="nil"/>
              <w:bottom w:val="nil"/>
              <w:right w:val="nil"/>
            </w:tcBorders>
          </w:tcPr>
          <w:p w14:paraId="0C02F50B" w14:textId="77777777" w:rsidR="00246B76" w:rsidRPr="00B72BB9" w:rsidRDefault="00246B76" w:rsidP="00181211">
            <w:pPr>
              <w:spacing w:line="276" w:lineRule="auto"/>
              <w:jc w:val="center"/>
              <w:rPr>
                <w:sz w:val="20"/>
                <w:szCs w:val="20"/>
              </w:rPr>
            </w:pPr>
            <w:r>
              <w:rPr>
                <w:sz w:val="20"/>
                <w:szCs w:val="20"/>
              </w:rPr>
              <w:t xml:space="preserve">58.4 </w:t>
            </w:r>
            <w:r w:rsidRPr="00C40718">
              <w:rPr>
                <w:sz w:val="20"/>
                <w:szCs w:val="20"/>
              </w:rPr>
              <w:t>±</w:t>
            </w:r>
            <w:r>
              <w:rPr>
                <w:sz w:val="20"/>
                <w:szCs w:val="20"/>
              </w:rPr>
              <w:t xml:space="preserve"> 19.9</w:t>
            </w:r>
          </w:p>
        </w:tc>
      </w:tr>
      <w:tr w:rsidR="00246B76" w:rsidRPr="00B72BB9" w14:paraId="01BF311C" w14:textId="77777777" w:rsidTr="00181211">
        <w:trPr>
          <w:trHeight w:val="340"/>
        </w:trPr>
        <w:tc>
          <w:tcPr>
            <w:tcW w:w="833" w:type="pct"/>
            <w:tcBorders>
              <w:top w:val="nil"/>
              <w:left w:val="nil"/>
              <w:bottom w:val="nil"/>
              <w:right w:val="nil"/>
            </w:tcBorders>
          </w:tcPr>
          <w:p w14:paraId="7A232C95"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3272519B" w14:textId="77777777" w:rsidR="00246B76" w:rsidRPr="00B72BB9" w:rsidRDefault="00246B76" w:rsidP="00181211">
            <w:pPr>
              <w:spacing w:line="276" w:lineRule="auto"/>
              <w:rPr>
                <w:sz w:val="20"/>
                <w:szCs w:val="20"/>
              </w:rPr>
            </w:pPr>
            <w:r>
              <w:rPr>
                <w:sz w:val="20"/>
                <w:szCs w:val="20"/>
              </w:rPr>
              <w:t>Grandmaster</w:t>
            </w:r>
          </w:p>
        </w:tc>
        <w:tc>
          <w:tcPr>
            <w:tcW w:w="833" w:type="pct"/>
            <w:tcBorders>
              <w:top w:val="nil"/>
              <w:left w:val="nil"/>
              <w:bottom w:val="nil"/>
              <w:right w:val="nil"/>
            </w:tcBorders>
          </w:tcPr>
          <w:p w14:paraId="66B17C5A" w14:textId="77777777" w:rsidR="00246B76" w:rsidRPr="00B72BB9" w:rsidRDefault="00246B76" w:rsidP="00181211">
            <w:pPr>
              <w:spacing w:line="276" w:lineRule="auto"/>
              <w:jc w:val="center"/>
              <w:rPr>
                <w:sz w:val="20"/>
                <w:szCs w:val="20"/>
              </w:rPr>
            </w:pPr>
            <w:r>
              <w:rPr>
                <w:sz w:val="20"/>
                <w:szCs w:val="20"/>
              </w:rPr>
              <w:t xml:space="preserve">18.1 </w:t>
            </w:r>
            <w:r w:rsidRPr="00C40718">
              <w:rPr>
                <w:sz w:val="20"/>
                <w:szCs w:val="20"/>
              </w:rPr>
              <w:t>±</w:t>
            </w:r>
            <w:r>
              <w:rPr>
                <w:sz w:val="20"/>
                <w:szCs w:val="20"/>
              </w:rPr>
              <w:t xml:space="preserve"> 6.3</w:t>
            </w:r>
          </w:p>
        </w:tc>
        <w:tc>
          <w:tcPr>
            <w:tcW w:w="833" w:type="pct"/>
            <w:tcBorders>
              <w:top w:val="nil"/>
              <w:left w:val="nil"/>
              <w:bottom w:val="nil"/>
              <w:right w:val="nil"/>
            </w:tcBorders>
          </w:tcPr>
          <w:p w14:paraId="41FC68C1" w14:textId="77777777" w:rsidR="00246B76" w:rsidRDefault="00246B76" w:rsidP="00181211">
            <w:pPr>
              <w:spacing w:line="276" w:lineRule="auto"/>
              <w:jc w:val="center"/>
              <w:rPr>
                <w:sz w:val="20"/>
                <w:szCs w:val="20"/>
              </w:rPr>
            </w:pPr>
            <w:r>
              <w:rPr>
                <w:sz w:val="20"/>
                <w:szCs w:val="20"/>
              </w:rPr>
              <w:t xml:space="preserve">4.2 </w:t>
            </w:r>
            <w:r w:rsidRPr="00C40718">
              <w:rPr>
                <w:sz w:val="20"/>
                <w:szCs w:val="20"/>
              </w:rPr>
              <w:t>±</w:t>
            </w:r>
            <w:r>
              <w:rPr>
                <w:sz w:val="20"/>
                <w:szCs w:val="20"/>
              </w:rPr>
              <w:t xml:space="preserve"> 2.0</w:t>
            </w:r>
          </w:p>
        </w:tc>
        <w:tc>
          <w:tcPr>
            <w:tcW w:w="833" w:type="pct"/>
            <w:tcBorders>
              <w:top w:val="nil"/>
              <w:left w:val="nil"/>
              <w:bottom w:val="nil"/>
              <w:right w:val="nil"/>
            </w:tcBorders>
          </w:tcPr>
          <w:p w14:paraId="0B4B88B6" w14:textId="77777777" w:rsidR="00246B76" w:rsidRPr="00B72BB9" w:rsidRDefault="00246B76" w:rsidP="00181211">
            <w:pPr>
              <w:spacing w:line="276" w:lineRule="auto"/>
              <w:jc w:val="center"/>
              <w:rPr>
                <w:sz w:val="20"/>
                <w:szCs w:val="20"/>
              </w:rPr>
            </w:pPr>
            <w:r>
              <w:rPr>
                <w:sz w:val="20"/>
                <w:szCs w:val="20"/>
              </w:rPr>
              <w:t xml:space="preserve">31.2 </w:t>
            </w:r>
            <w:r w:rsidRPr="00C40718">
              <w:rPr>
                <w:sz w:val="20"/>
                <w:szCs w:val="20"/>
              </w:rPr>
              <w:t>±</w:t>
            </w:r>
            <w:r>
              <w:rPr>
                <w:sz w:val="20"/>
                <w:szCs w:val="20"/>
              </w:rPr>
              <w:t xml:space="preserve"> 10.8</w:t>
            </w:r>
          </w:p>
        </w:tc>
        <w:tc>
          <w:tcPr>
            <w:tcW w:w="836" w:type="pct"/>
            <w:tcBorders>
              <w:top w:val="nil"/>
              <w:left w:val="nil"/>
              <w:bottom w:val="nil"/>
              <w:right w:val="nil"/>
            </w:tcBorders>
          </w:tcPr>
          <w:p w14:paraId="6BC8645D" w14:textId="77777777" w:rsidR="00246B76" w:rsidRPr="00B72BB9" w:rsidRDefault="00246B76" w:rsidP="00181211">
            <w:pPr>
              <w:spacing w:line="276" w:lineRule="auto"/>
              <w:jc w:val="center"/>
              <w:rPr>
                <w:sz w:val="20"/>
                <w:szCs w:val="20"/>
              </w:rPr>
            </w:pPr>
            <w:r>
              <w:rPr>
                <w:sz w:val="20"/>
                <w:szCs w:val="20"/>
              </w:rPr>
              <w:t xml:space="preserve">51.7 </w:t>
            </w:r>
            <w:r w:rsidRPr="00C40718">
              <w:rPr>
                <w:sz w:val="20"/>
                <w:szCs w:val="20"/>
              </w:rPr>
              <w:t>±</w:t>
            </w:r>
            <w:r>
              <w:rPr>
                <w:sz w:val="20"/>
                <w:szCs w:val="20"/>
              </w:rPr>
              <w:t xml:space="preserve"> 16.4</w:t>
            </w:r>
          </w:p>
        </w:tc>
      </w:tr>
      <w:tr w:rsidR="00246B76" w:rsidRPr="00B72BB9" w14:paraId="12A4A1FA" w14:textId="77777777" w:rsidTr="00181211">
        <w:trPr>
          <w:trHeight w:val="340"/>
        </w:trPr>
        <w:tc>
          <w:tcPr>
            <w:tcW w:w="833" w:type="pct"/>
            <w:tcBorders>
              <w:top w:val="nil"/>
              <w:left w:val="nil"/>
              <w:bottom w:val="nil"/>
              <w:right w:val="nil"/>
            </w:tcBorders>
          </w:tcPr>
          <w:p w14:paraId="1ECBB340"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07A85AF3" w14:textId="77777777" w:rsidR="00246B76" w:rsidRPr="00B72BB9" w:rsidRDefault="00246B76" w:rsidP="00181211">
            <w:pPr>
              <w:spacing w:line="276" w:lineRule="auto"/>
              <w:rPr>
                <w:sz w:val="20"/>
                <w:szCs w:val="20"/>
              </w:rPr>
            </w:pPr>
            <w:r>
              <w:rPr>
                <w:sz w:val="20"/>
                <w:szCs w:val="20"/>
              </w:rPr>
              <w:t>Master</w:t>
            </w:r>
          </w:p>
        </w:tc>
        <w:tc>
          <w:tcPr>
            <w:tcW w:w="833" w:type="pct"/>
            <w:tcBorders>
              <w:top w:val="nil"/>
              <w:left w:val="nil"/>
              <w:bottom w:val="nil"/>
              <w:right w:val="nil"/>
            </w:tcBorders>
          </w:tcPr>
          <w:p w14:paraId="60B5C556" w14:textId="77777777" w:rsidR="00246B76" w:rsidRPr="00B72BB9" w:rsidRDefault="00246B76" w:rsidP="00181211">
            <w:pPr>
              <w:spacing w:line="276" w:lineRule="auto"/>
              <w:jc w:val="center"/>
              <w:rPr>
                <w:sz w:val="20"/>
                <w:szCs w:val="20"/>
              </w:rPr>
            </w:pPr>
            <w:r>
              <w:rPr>
                <w:sz w:val="20"/>
                <w:szCs w:val="20"/>
              </w:rPr>
              <w:t xml:space="preserve">21.2 </w:t>
            </w:r>
            <w:r w:rsidRPr="00C40718">
              <w:rPr>
                <w:sz w:val="20"/>
                <w:szCs w:val="20"/>
              </w:rPr>
              <w:t>±</w:t>
            </w:r>
            <w:r>
              <w:rPr>
                <w:sz w:val="20"/>
                <w:szCs w:val="20"/>
              </w:rPr>
              <w:t xml:space="preserve"> 7.3</w:t>
            </w:r>
          </w:p>
        </w:tc>
        <w:tc>
          <w:tcPr>
            <w:tcW w:w="833" w:type="pct"/>
            <w:tcBorders>
              <w:top w:val="nil"/>
              <w:left w:val="nil"/>
              <w:bottom w:val="nil"/>
              <w:right w:val="nil"/>
            </w:tcBorders>
          </w:tcPr>
          <w:p w14:paraId="386062C3" w14:textId="77777777" w:rsidR="00246B76" w:rsidRDefault="00246B76" w:rsidP="00181211">
            <w:pPr>
              <w:spacing w:line="276" w:lineRule="auto"/>
              <w:jc w:val="center"/>
              <w:rPr>
                <w:sz w:val="20"/>
                <w:szCs w:val="20"/>
              </w:rPr>
            </w:pPr>
            <w:r>
              <w:rPr>
                <w:sz w:val="20"/>
                <w:szCs w:val="20"/>
              </w:rPr>
              <w:t xml:space="preserve">5.2 </w:t>
            </w:r>
            <w:r w:rsidRPr="00C40718">
              <w:rPr>
                <w:sz w:val="20"/>
                <w:szCs w:val="20"/>
              </w:rPr>
              <w:t>±</w:t>
            </w:r>
            <w:r>
              <w:rPr>
                <w:sz w:val="20"/>
                <w:szCs w:val="20"/>
              </w:rPr>
              <w:t xml:space="preserve"> 2.1</w:t>
            </w:r>
          </w:p>
        </w:tc>
        <w:tc>
          <w:tcPr>
            <w:tcW w:w="833" w:type="pct"/>
            <w:tcBorders>
              <w:top w:val="nil"/>
              <w:left w:val="nil"/>
              <w:bottom w:val="nil"/>
              <w:right w:val="nil"/>
            </w:tcBorders>
          </w:tcPr>
          <w:p w14:paraId="64B9A99B" w14:textId="77777777" w:rsidR="00246B76" w:rsidRPr="00B72BB9" w:rsidRDefault="00246B76" w:rsidP="00181211">
            <w:pPr>
              <w:spacing w:line="276" w:lineRule="auto"/>
              <w:jc w:val="center"/>
              <w:rPr>
                <w:sz w:val="20"/>
                <w:szCs w:val="20"/>
              </w:rPr>
            </w:pPr>
            <w:r>
              <w:rPr>
                <w:sz w:val="20"/>
                <w:szCs w:val="20"/>
              </w:rPr>
              <w:t xml:space="preserve">27.0 </w:t>
            </w:r>
            <w:r w:rsidRPr="00C40718">
              <w:rPr>
                <w:sz w:val="20"/>
                <w:szCs w:val="20"/>
              </w:rPr>
              <w:t>±</w:t>
            </w:r>
            <w:r>
              <w:rPr>
                <w:sz w:val="20"/>
                <w:szCs w:val="20"/>
              </w:rPr>
              <w:t xml:space="preserve"> 9.3</w:t>
            </w:r>
          </w:p>
        </w:tc>
        <w:tc>
          <w:tcPr>
            <w:tcW w:w="836" w:type="pct"/>
            <w:tcBorders>
              <w:top w:val="nil"/>
              <w:left w:val="nil"/>
              <w:bottom w:val="nil"/>
              <w:right w:val="nil"/>
            </w:tcBorders>
          </w:tcPr>
          <w:p w14:paraId="41AC862F" w14:textId="77777777" w:rsidR="00246B76" w:rsidRPr="00B72BB9" w:rsidRDefault="00246B76" w:rsidP="00181211">
            <w:pPr>
              <w:spacing w:line="276" w:lineRule="auto"/>
              <w:jc w:val="center"/>
              <w:rPr>
                <w:sz w:val="20"/>
                <w:szCs w:val="20"/>
              </w:rPr>
            </w:pPr>
            <w:r>
              <w:rPr>
                <w:sz w:val="20"/>
                <w:szCs w:val="20"/>
              </w:rPr>
              <w:t xml:space="preserve">44.2 </w:t>
            </w:r>
            <w:r w:rsidRPr="00C40718">
              <w:rPr>
                <w:sz w:val="20"/>
                <w:szCs w:val="20"/>
              </w:rPr>
              <w:t>±</w:t>
            </w:r>
            <w:r>
              <w:rPr>
                <w:sz w:val="20"/>
                <w:szCs w:val="20"/>
              </w:rPr>
              <w:t xml:space="preserve"> 16.8</w:t>
            </w:r>
          </w:p>
        </w:tc>
      </w:tr>
      <w:tr w:rsidR="00246B76" w:rsidRPr="00B72BB9" w14:paraId="09153626" w14:textId="77777777" w:rsidTr="00181211">
        <w:trPr>
          <w:trHeight w:val="389"/>
        </w:trPr>
        <w:tc>
          <w:tcPr>
            <w:tcW w:w="833" w:type="pct"/>
            <w:tcBorders>
              <w:top w:val="nil"/>
              <w:left w:val="nil"/>
              <w:bottom w:val="nil"/>
              <w:right w:val="nil"/>
            </w:tcBorders>
          </w:tcPr>
          <w:p w14:paraId="50E6B2AF"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3D61CCA0" w14:textId="77777777" w:rsidR="00246B76" w:rsidRPr="00B72BB9" w:rsidRDefault="00246B76" w:rsidP="00181211">
            <w:pPr>
              <w:spacing w:line="276" w:lineRule="auto"/>
              <w:rPr>
                <w:sz w:val="20"/>
                <w:szCs w:val="20"/>
              </w:rPr>
            </w:pPr>
            <w:r>
              <w:rPr>
                <w:sz w:val="20"/>
                <w:szCs w:val="20"/>
              </w:rPr>
              <w:t>Emerald I</w:t>
            </w:r>
          </w:p>
        </w:tc>
        <w:tc>
          <w:tcPr>
            <w:tcW w:w="833" w:type="pct"/>
            <w:tcBorders>
              <w:top w:val="nil"/>
              <w:left w:val="nil"/>
              <w:bottom w:val="nil"/>
              <w:right w:val="nil"/>
            </w:tcBorders>
          </w:tcPr>
          <w:p w14:paraId="6BF3E2ED" w14:textId="77777777" w:rsidR="00246B76" w:rsidRPr="00B72BB9" w:rsidRDefault="00246B76" w:rsidP="00181211">
            <w:pPr>
              <w:spacing w:line="276" w:lineRule="auto"/>
              <w:jc w:val="center"/>
              <w:rPr>
                <w:sz w:val="20"/>
                <w:szCs w:val="20"/>
              </w:rPr>
            </w:pPr>
            <w:r>
              <w:rPr>
                <w:sz w:val="20"/>
                <w:szCs w:val="20"/>
              </w:rPr>
              <w:t xml:space="preserve">23.3 </w:t>
            </w:r>
            <w:r w:rsidRPr="00C40718">
              <w:rPr>
                <w:sz w:val="20"/>
                <w:szCs w:val="20"/>
              </w:rPr>
              <w:t>±</w:t>
            </w:r>
            <w:r>
              <w:rPr>
                <w:sz w:val="20"/>
                <w:szCs w:val="20"/>
              </w:rPr>
              <w:t xml:space="preserve"> 9.4</w:t>
            </w:r>
          </w:p>
        </w:tc>
        <w:tc>
          <w:tcPr>
            <w:tcW w:w="833" w:type="pct"/>
            <w:tcBorders>
              <w:top w:val="nil"/>
              <w:left w:val="nil"/>
              <w:bottom w:val="nil"/>
              <w:right w:val="nil"/>
            </w:tcBorders>
          </w:tcPr>
          <w:p w14:paraId="06557EE9" w14:textId="77777777" w:rsidR="00246B76" w:rsidRDefault="00246B76" w:rsidP="00181211">
            <w:pPr>
              <w:spacing w:line="276" w:lineRule="auto"/>
              <w:jc w:val="center"/>
              <w:rPr>
                <w:sz w:val="20"/>
                <w:szCs w:val="20"/>
              </w:rPr>
            </w:pPr>
            <w:r>
              <w:rPr>
                <w:sz w:val="20"/>
                <w:szCs w:val="20"/>
              </w:rPr>
              <w:t xml:space="preserve">5.4 </w:t>
            </w:r>
            <w:r w:rsidRPr="00C40718">
              <w:rPr>
                <w:sz w:val="20"/>
                <w:szCs w:val="20"/>
              </w:rPr>
              <w:t>±</w:t>
            </w:r>
            <w:r>
              <w:rPr>
                <w:sz w:val="20"/>
                <w:szCs w:val="20"/>
              </w:rPr>
              <w:t xml:space="preserve"> 2.0</w:t>
            </w:r>
          </w:p>
        </w:tc>
        <w:tc>
          <w:tcPr>
            <w:tcW w:w="833" w:type="pct"/>
            <w:tcBorders>
              <w:top w:val="nil"/>
              <w:left w:val="nil"/>
              <w:bottom w:val="nil"/>
              <w:right w:val="nil"/>
            </w:tcBorders>
          </w:tcPr>
          <w:p w14:paraId="18F257D6" w14:textId="77777777" w:rsidR="00246B76" w:rsidRPr="00B72BB9" w:rsidRDefault="00246B76" w:rsidP="00181211">
            <w:pPr>
              <w:spacing w:line="276" w:lineRule="auto"/>
              <w:jc w:val="center"/>
              <w:rPr>
                <w:sz w:val="20"/>
                <w:szCs w:val="20"/>
              </w:rPr>
            </w:pPr>
            <w:r>
              <w:rPr>
                <w:sz w:val="20"/>
                <w:szCs w:val="20"/>
              </w:rPr>
              <w:t xml:space="preserve">24.9 </w:t>
            </w:r>
            <w:r w:rsidRPr="00C40718">
              <w:rPr>
                <w:sz w:val="20"/>
                <w:szCs w:val="20"/>
              </w:rPr>
              <w:t>±</w:t>
            </w:r>
            <w:r>
              <w:rPr>
                <w:sz w:val="20"/>
                <w:szCs w:val="20"/>
              </w:rPr>
              <w:t xml:space="preserve"> 7.3</w:t>
            </w:r>
          </w:p>
        </w:tc>
        <w:tc>
          <w:tcPr>
            <w:tcW w:w="836" w:type="pct"/>
            <w:tcBorders>
              <w:top w:val="nil"/>
              <w:left w:val="nil"/>
              <w:bottom w:val="nil"/>
              <w:right w:val="nil"/>
            </w:tcBorders>
          </w:tcPr>
          <w:p w14:paraId="24206025" w14:textId="77777777" w:rsidR="00246B76" w:rsidRPr="00B72BB9" w:rsidRDefault="00246B76" w:rsidP="00181211">
            <w:pPr>
              <w:spacing w:line="276" w:lineRule="auto"/>
              <w:jc w:val="center"/>
              <w:rPr>
                <w:sz w:val="20"/>
                <w:szCs w:val="20"/>
              </w:rPr>
            </w:pPr>
            <w:r>
              <w:rPr>
                <w:sz w:val="20"/>
                <w:szCs w:val="20"/>
              </w:rPr>
              <w:t xml:space="preserve">38.4 </w:t>
            </w:r>
            <w:r w:rsidRPr="00C40718">
              <w:rPr>
                <w:sz w:val="20"/>
                <w:szCs w:val="20"/>
              </w:rPr>
              <w:t>±</w:t>
            </w:r>
            <w:r>
              <w:rPr>
                <w:sz w:val="20"/>
                <w:szCs w:val="20"/>
              </w:rPr>
              <w:t xml:space="preserve"> 11.0</w:t>
            </w:r>
          </w:p>
        </w:tc>
      </w:tr>
      <w:tr w:rsidR="00246B76" w:rsidRPr="00B72BB9" w14:paraId="1E26FA04" w14:textId="77777777" w:rsidTr="00181211">
        <w:trPr>
          <w:trHeight w:val="340"/>
        </w:trPr>
        <w:tc>
          <w:tcPr>
            <w:tcW w:w="833" w:type="pct"/>
            <w:tcBorders>
              <w:top w:val="nil"/>
              <w:left w:val="nil"/>
              <w:bottom w:val="nil"/>
              <w:right w:val="nil"/>
            </w:tcBorders>
          </w:tcPr>
          <w:p w14:paraId="0DCB06F5" w14:textId="77777777" w:rsidR="00246B76" w:rsidRPr="00B72BB9" w:rsidRDefault="00246B76" w:rsidP="00181211">
            <w:pPr>
              <w:spacing w:line="276" w:lineRule="auto"/>
              <w:rPr>
                <w:sz w:val="20"/>
                <w:szCs w:val="20"/>
              </w:rPr>
            </w:pPr>
            <w:r>
              <w:rPr>
                <w:sz w:val="20"/>
                <w:szCs w:val="20"/>
              </w:rPr>
              <w:t>NA1</w:t>
            </w:r>
          </w:p>
        </w:tc>
        <w:tc>
          <w:tcPr>
            <w:tcW w:w="832" w:type="pct"/>
            <w:tcBorders>
              <w:top w:val="nil"/>
              <w:left w:val="nil"/>
              <w:bottom w:val="nil"/>
              <w:right w:val="nil"/>
            </w:tcBorders>
          </w:tcPr>
          <w:p w14:paraId="40D68C7E" w14:textId="77777777" w:rsidR="00246B76" w:rsidRPr="00B72BB9" w:rsidRDefault="00246B76" w:rsidP="00181211">
            <w:pPr>
              <w:spacing w:line="276" w:lineRule="auto"/>
              <w:rPr>
                <w:sz w:val="20"/>
                <w:szCs w:val="20"/>
              </w:rPr>
            </w:pPr>
            <w:r>
              <w:rPr>
                <w:sz w:val="20"/>
                <w:szCs w:val="20"/>
              </w:rPr>
              <w:t>Challenger</w:t>
            </w:r>
          </w:p>
        </w:tc>
        <w:tc>
          <w:tcPr>
            <w:tcW w:w="833" w:type="pct"/>
            <w:tcBorders>
              <w:top w:val="nil"/>
              <w:left w:val="nil"/>
              <w:bottom w:val="nil"/>
              <w:right w:val="nil"/>
            </w:tcBorders>
          </w:tcPr>
          <w:p w14:paraId="01D88D0D" w14:textId="77777777" w:rsidR="00246B76" w:rsidRPr="00B72BB9" w:rsidRDefault="00246B76" w:rsidP="00181211">
            <w:pPr>
              <w:spacing w:line="276" w:lineRule="auto"/>
              <w:jc w:val="center"/>
              <w:rPr>
                <w:sz w:val="20"/>
                <w:szCs w:val="20"/>
              </w:rPr>
            </w:pPr>
            <w:r>
              <w:rPr>
                <w:sz w:val="20"/>
                <w:szCs w:val="20"/>
              </w:rPr>
              <w:t xml:space="preserve">15.9 </w:t>
            </w:r>
            <w:r w:rsidRPr="00C40718">
              <w:rPr>
                <w:sz w:val="20"/>
                <w:szCs w:val="20"/>
              </w:rPr>
              <w:t>±</w:t>
            </w:r>
            <w:r>
              <w:rPr>
                <w:sz w:val="20"/>
                <w:szCs w:val="20"/>
              </w:rPr>
              <w:t xml:space="preserve"> 5.0</w:t>
            </w:r>
          </w:p>
        </w:tc>
        <w:tc>
          <w:tcPr>
            <w:tcW w:w="833" w:type="pct"/>
            <w:tcBorders>
              <w:top w:val="nil"/>
              <w:left w:val="nil"/>
              <w:bottom w:val="nil"/>
              <w:right w:val="nil"/>
            </w:tcBorders>
          </w:tcPr>
          <w:p w14:paraId="6BA7E5F1" w14:textId="77777777" w:rsidR="00246B76" w:rsidRDefault="00246B76" w:rsidP="00181211">
            <w:pPr>
              <w:spacing w:line="276" w:lineRule="auto"/>
              <w:jc w:val="center"/>
              <w:rPr>
                <w:sz w:val="20"/>
                <w:szCs w:val="20"/>
              </w:rPr>
            </w:pPr>
            <w:r>
              <w:rPr>
                <w:sz w:val="20"/>
                <w:szCs w:val="20"/>
              </w:rPr>
              <w:t xml:space="preserve">3.5 </w:t>
            </w:r>
            <w:r w:rsidRPr="00C40718">
              <w:rPr>
                <w:sz w:val="20"/>
                <w:szCs w:val="20"/>
              </w:rPr>
              <w:t>±</w:t>
            </w:r>
            <w:r>
              <w:rPr>
                <w:sz w:val="20"/>
                <w:szCs w:val="20"/>
              </w:rPr>
              <w:t xml:space="preserve"> 2.0</w:t>
            </w:r>
          </w:p>
        </w:tc>
        <w:tc>
          <w:tcPr>
            <w:tcW w:w="833" w:type="pct"/>
            <w:tcBorders>
              <w:top w:val="nil"/>
              <w:left w:val="nil"/>
              <w:bottom w:val="nil"/>
              <w:right w:val="nil"/>
            </w:tcBorders>
          </w:tcPr>
          <w:p w14:paraId="232D2D90" w14:textId="77777777" w:rsidR="00246B76" w:rsidRPr="00B72BB9" w:rsidRDefault="00246B76" w:rsidP="00181211">
            <w:pPr>
              <w:spacing w:line="276" w:lineRule="auto"/>
              <w:jc w:val="center"/>
              <w:rPr>
                <w:sz w:val="20"/>
                <w:szCs w:val="20"/>
              </w:rPr>
            </w:pPr>
            <w:r>
              <w:rPr>
                <w:sz w:val="20"/>
                <w:szCs w:val="20"/>
              </w:rPr>
              <w:t xml:space="preserve">32.6 </w:t>
            </w:r>
            <w:r w:rsidRPr="00C40718">
              <w:rPr>
                <w:sz w:val="20"/>
                <w:szCs w:val="20"/>
              </w:rPr>
              <w:t>±</w:t>
            </w:r>
            <w:r>
              <w:rPr>
                <w:sz w:val="20"/>
                <w:szCs w:val="20"/>
              </w:rPr>
              <w:t xml:space="preserve"> 9.5</w:t>
            </w:r>
          </w:p>
        </w:tc>
        <w:tc>
          <w:tcPr>
            <w:tcW w:w="836" w:type="pct"/>
            <w:tcBorders>
              <w:top w:val="nil"/>
              <w:left w:val="nil"/>
              <w:bottom w:val="nil"/>
              <w:right w:val="nil"/>
            </w:tcBorders>
          </w:tcPr>
          <w:p w14:paraId="1739C428" w14:textId="77777777" w:rsidR="00246B76" w:rsidRPr="00B72BB9" w:rsidRDefault="00246B76" w:rsidP="00181211">
            <w:pPr>
              <w:spacing w:line="276" w:lineRule="auto"/>
              <w:jc w:val="center"/>
              <w:rPr>
                <w:sz w:val="20"/>
                <w:szCs w:val="20"/>
              </w:rPr>
            </w:pPr>
            <w:r>
              <w:rPr>
                <w:sz w:val="20"/>
                <w:szCs w:val="20"/>
              </w:rPr>
              <w:t xml:space="preserve">55.1 </w:t>
            </w:r>
            <w:r w:rsidRPr="00C40718">
              <w:rPr>
                <w:sz w:val="20"/>
                <w:szCs w:val="20"/>
              </w:rPr>
              <w:t>±</w:t>
            </w:r>
            <w:r>
              <w:rPr>
                <w:sz w:val="20"/>
                <w:szCs w:val="20"/>
              </w:rPr>
              <w:t xml:space="preserve"> 4.1</w:t>
            </w:r>
          </w:p>
        </w:tc>
      </w:tr>
      <w:tr w:rsidR="00246B76" w:rsidRPr="00B72BB9" w14:paraId="4D01D7D2" w14:textId="77777777" w:rsidTr="00181211">
        <w:trPr>
          <w:trHeight w:val="340"/>
        </w:trPr>
        <w:tc>
          <w:tcPr>
            <w:tcW w:w="833" w:type="pct"/>
            <w:tcBorders>
              <w:top w:val="nil"/>
              <w:left w:val="nil"/>
              <w:bottom w:val="nil"/>
              <w:right w:val="nil"/>
            </w:tcBorders>
          </w:tcPr>
          <w:p w14:paraId="585229DE"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631D0F40" w14:textId="77777777" w:rsidR="00246B76" w:rsidRPr="00B72BB9" w:rsidRDefault="00246B76" w:rsidP="00181211">
            <w:pPr>
              <w:spacing w:line="276" w:lineRule="auto"/>
              <w:rPr>
                <w:sz w:val="20"/>
                <w:szCs w:val="20"/>
              </w:rPr>
            </w:pPr>
            <w:r>
              <w:rPr>
                <w:sz w:val="20"/>
                <w:szCs w:val="20"/>
              </w:rPr>
              <w:t>Grandmaster</w:t>
            </w:r>
          </w:p>
        </w:tc>
        <w:tc>
          <w:tcPr>
            <w:tcW w:w="833" w:type="pct"/>
            <w:tcBorders>
              <w:top w:val="nil"/>
              <w:left w:val="nil"/>
              <w:bottom w:val="nil"/>
              <w:right w:val="nil"/>
            </w:tcBorders>
          </w:tcPr>
          <w:p w14:paraId="6CDEEFC7" w14:textId="77777777" w:rsidR="00246B76" w:rsidRPr="00B72BB9" w:rsidRDefault="00246B76" w:rsidP="00181211">
            <w:pPr>
              <w:spacing w:line="276" w:lineRule="auto"/>
              <w:jc w:val="center"/>
              <w:rPr>
                <w:sz w:val="20"/>
                <w:szCs w:val="20"/>
              </w:rPr>
            </w:pPr>
            <w:r>
              <w:rPr>
                <w:sz w:val="20"/>
                <w:szCs w:val="20"/>
              </w:rPr>
              <w:t xml:space="preserve">17.8 </w:t>
            </w:r>
            <w:r w:rsidRPr="00C40718">
              <w:rPr>
                <w:sz w:val="20"/>
                <w:szCs w:val="20"/>
              </w:rPr>
              <w:t>±</w:t>
            </w:r>
            <w:r>
              <w:rPr>
                <w:sz w:val="20"/>
                <w:szCs w:val="20"/>
              </w:rPr>
              <w:t xml:space="preserve"> 6.7</w:t>
            </w:r>
          </w:p>
        </w:tc>
        <w:tc>
          <w:tcPr>
            <w:tcW w:w="833" w:type="pct"/>
            <w:tcBorders>
              <w:top w:val="nil"/>
              <w:left w:val="nil"/>
              <w:bottom w:val="nil"/>
              <w:right w:val="nil"/>
            </w:tcBorders>
          </w:tcPr>
          <w:p w14:paraId="3FA183DA" w14:textId="77777777" w:rsidR="00246B76" w:rsidRDefault="00246B76" w:rsidP="00181211">
            <w:pPr>
              <w:spacing w:line="276" w:lineRule="auto"/>
              <w:jc w:val="center"/>
              <w:rPr>
                <w:sz w:val="20"/>
                <w:szCs w:val="20"/>
              </w:rPr>
            </w:pPr>
            <w:r>
              <w:rPr>
                <w:sz w:val="20"/>
                <w:szCs w:val="20"/>
              </w:rPr>
              <w:t xml:space="preserve">4.0 </w:t>
            </w:r>
            <w:r w:rsidRPr="00C40718">
              <w:rPr>
                <w:sz w:val="20"/>
                <w:szCs w:val="20"/>
              </w:rPr>
              <w:t>±</w:t>
            </w:r>
            <w:r>
              <w:rPr>
                <w:sz w:val="20"/>
                <w:szCs w:val="20"/>
              </w:rPr>
              <w:t xml:space="preserve"> 2.1</w:t>
            </w:r>
          </w:p>
        </w:tc>
        <w:tc>
          <w:tcPr>
            <w:tcW w:w="833" w:type="pct"/>
            <w:tcBorders>
              <w:top w:val="nil"/>
              <w:left w:val="nil"/>
              <w:bottom w:val="nil"/>
              <w:right w:val="nil"/>
            </w:tcBorders>
          </w:tcPr>
          <w:p w14:paraId="324C2507" w14:textId="77777777" w:rsidR="00246B76" w:rsidRPr="00B72BB9" w:rsidRDefault="00246B76" w:rsidP="00181211">
            <w:pPr>
              <w:spacing w:line="276" w:lineRule="auto"/>
              <w:jc w:val="center"/>
              <w:rPr>
                <w:sz w:val="20"/>
                <w:szCs w:val="20"/>
              </w:rPr>
            </w:pPr>
            <w:r>
              <w:rPr>
                <w:sz w:val="20"/>
                <w:szCs w:val="20"/>
              </w:rPr>
              <w:t xml:space="preserve">30.8 </w:t>
            </w:r>
            <w:r w:rsidRPr="00C40718">
              <w:rPr>
                <w:sz w:val="20"/>
                <w:szCs w:val="20"/>
              </w:rPr>
              <w:t>±</w:t>
            </w:r>
            <w:r>
              <w:rPr>
                <w:sz w:val="20"/>
                <w:szCs w:val="20"/>
              </w:rPr>
              <w:t xml:space="preserve"> 10.2</w:t>
            </w:r>
          </w:p>
        </w:tc>
        <w:tc>
          <w:tcPr>
            <w:tcW w:w="836" w:type="pct"/>
            <w:tcBorders>
              <w:top w:val="nil"/>
              <w:left w:val="nil"/>
              <w:bottom w:val="nil"/>
              <w:right w:val="nil"/>
            </w:tcBorders>
          </w:tcPr>
          <w:p w14:paraId="2E35476C" w14:textId="77777777" w:rsidR="00246B76" w:rsidRPr="00B72BB9" w:rsidRDefault="00246B76" w:rsidP="00181211">
            <w:pPr>
              <w:spacing w:line="276" w:lineRule="auto"/>
              <w:jc w:val="center"/>
              <w:rPr>
                <w:sz w:val="20"/>
                <w:szCs w:val="20"/>
              </w:rPr>
            </w:pPr>
            <w:r>
              <w:rPr>
                <w:sz w:val="20"/>
                <w:szCs w:val="20"/>
              </w:rPr>
              <w:t xml:space="preserve">49.9 </w:t>
            </w:r>
            <w:r w:rsidRPr="00C40718">
              <w:rPr>
                <w:sz w:val="20"/>
                <w:szCs w:val="20"/>
              </w:rPr>
              <w:t>±</w:t>
            </w:r>
            <w:r>
              <w:rPr>
                <w:sz w:val="20"/>
                <w:szCs w:val="20"/>
              </w:rPr>
              <w:t xml:space="preserve"> 14.5</w:t>
            </w:r>
          </w:p>
        </w:tc>
      </w:tr>
      <w:tr w:rsidR="00246B76" w:rsidRPr="00B72BB9" w14:paraId="7918361E" w14:textId="77777777" w:rsidTr="00181211">
        <w:trPr>
          <w:trHeight w:val="340"/>
        </w:trPr>
        <w:tc>
          <w:tcPr>
            <w:tcW w:w="833" w:type="pct"/>
            <w:tcBorders>
              <w:top w:val="nil"/>
              <w:left w:val="nil"/>
              <w:bottom w:val="nil"/>
              <w:right w:val="nil"/>
            </w:tcBorders>
          </w:tcPr>
          <w:p w14:paraId="5AC1681B"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48C3C553" w14:textId="77777777" w:rsidR="00246B76" w:rsidRPr="00B72BB9" w:rsidRDefault="00246B76" w:rsidP="00181211">
            <w:pPr>
              <w:spacing w:line="276" w:lineRule="auto"/>
              <w:rPr>
                <w:sz w:val="20"/>
                <w:szCs w:val="20"/>
              </w:rPr>
            </w:pPr>
            <w:r>
              <w:rPr>
                <w:sz w:val="20"/>
                <w:szCs w:val="20"/>
              </w:rPr>
              <w:t>Master</w:t>
            </w:r>
          </w:p>
        </w:tc>
        <w:tc>
          <w:tcPr>
            <w:tcW w:w="833" w:type="pct"/>
            <w:tcBorders>
              <w:top w:val="nil"/>
              <w:left w:val="nil"/>
              <w:bottom w:val="nil"/>
              <w:right w:val="nil"/>
            </w:tcBorders>
          </w:tcPr>
          <w:p w14:paraId="1975E21D" w14:textId="77777777" w:rsidR="00246B76" w:rsidRPr="00B72BB9" w:rsidRDefault="00246B76" w:rsidP="00181211">
            <w:pPr>
              <w:spacing w:line="276" w:lineRule="auto"/>
              <w:jc w:val="center"/>
              <w:rPr>
                <w:sz w:val="20"/>
                <w:szCs w:val="20"/>
              </w:rPr>
            </w:pPr>
            <w:r>
              <w:rPr>
                <w:sz w:val="20"/>
                <w:szCs w:val="20"/>
              </w:rPr>
              <w:t xml:space="preserve">22.0 </w:t>
            </w:r>
            <w:r w:rsidRPr="00C40718">
              <w:rPr>
                <w:sz w:val="20"/>
                <w:szCs w:val="20"/>
              </w:rPr>
              <w:t>±</w:t>
            </w:r>
            <w:r>
              <w:rPr>
                <w:sz w:val="20"/>
                <w:szCs w:val="20"/>
              </w:rPr>
              <w:t xml:space="preserve"> 10.1</w:t>
            </w:r>
          </w:p>
        </w:tc>
        <w:tc>
          <w:tcPr>
            <w:tcW w:w="833" w:type="pct"/>
            <w:tcBorders>
              <w:top w:val="nil"/>
              <w:left w:val="nil"/>
              <w:bottom w:val="nil"/>
              <w:right w:val="nil"/>
            </w:tcBorders>
          </w:tcPr>
          <w:p w14:paraId="5A7027A8" w14:textId="77777777" w:rsidR="00246B76" w:rsidRDefault="00246B76" w:rsidP="00181211">
            <w:pPr>
              <w:spacing w:line="276" w:lineRule="auto"/>
              <w:jc w:val="center"/>
              <w:rPr>
                <w:sz w:val="20"/>
                <w:szCs w:val="20"/>
              </w:rPr>
            </w:pPr>
            <w:r>
              <w:rPr>
                <w:sz w:val="20"/>
                <w:szCs w:val="20"/>
              </w:rPr>
              <w:t xml:space="preserve">4.7 </w:t>
            </w:r>
            <w:r w:rsidRPr="00C40718">
              <w:rPr>
                <w:sz w:val="20"/>
                <w:szCs w:val="20"/>
              </w:rPr>
              <w:t>±</w:t>
            </w:r>
            <w:r>
              <w:rPr>
                <w:sz w:val="20"/>
                <w:szCs w:val="20"/>
              </w:rPr>
              <w:t xml:space="preserve"> 2.4</w:t>
            </w:r>
          </w:p>
        </w:tc>
        <w:tc>
          <w:tcPr>
            <w:tcW w:w="833" w:type="pct"/>
            <w:tcBorders>
              <w:top w:val="nil"/>
              <w:left w:val="nil"/>
              <w:bottom w:val="nil"/>
              <w:right w:val="nil"/>
            </w:tcBorders>
          </w:tcPr>
          <w:p w14:paraId="1BAE4FEB" w14:textId="77777777" w:rsidR="00246B76" w:rsidRPr="00F8315E" w:rsidRDefault="00246B76" w:rsidP="00181211">
            <w:pPr>
              <w:spacing w:line="276" w:lineRule="auto"/>
              <w:jc w:val="center"/>
            </w:pPr>
            <w:r>
              <w:rPr>
                <w:sz w:val="20"/>
                <w:szCs w:val="20"/>
              </w:rPr>
              <w:t xml:space="preserve">27.3 </w:t>
            </w:r>
            <w:r w:rsidRPr="00C40718">
              <w:rPr>
                <w:sz w:val="20"/>
                <w:szCs w:val="20"/>
              </w:rPr>
              <w:t>±</w:t>
            </w:r>
            <w:r>
              <w:t xml:space="preserve"> 10.7</w:t>
            </w:r>
          </w:p>
        </w:tc>
        <w:tc>
          <w:tcPr>
            <w:tcW w:w="836" w:type="pct"/>
            <w:tcBorders>
              <w:top w:val="nil"/>
              <w:left w:val="nil"/>
              <w:bottom w:val="nil"/>
              <w:right w:val="nil"/>
            </w:tcBorders>
          </w:tcPr>
          <w:p w14:paraId="093CB5D4" w14:textId="77777777" w:rsidR="00246B76" w:rsidRPr="00B72BB9" w:rsidRDefault="00246B76" w:rsidP="00181211">
            <w:pPr>
              <w:spacing w:line="276" w:lineRule="auto"/>
              <w:jc w:val="center"/>
              <w:rPr>
                <w:sz w:val="20"/>
                <w:szCs w:val="20"/>
              </w:rPr>
            </w:pPr>
            <w:r>
              <w:rPr>
                <w:sz w:val="20"/>
                <w:szCs w:val="20"/>
              </w:rPr>
              <w:t xml:space="preserve">45.1 </w:t>
            </w:r>
            <w:r w:rsidRPr="00C40718">
              <w:rPr>
                <w:sz w:val="20"/>
                <w:szCs w:val="20"/>
              </w:rPr>
              <w:t>±</w:t>
            </w:r>
            <w:r>
              <w:rPr>
                <w:sz w:val="20"/>
                <w:szCs w:val="20"/>
              </w:rPr>
              <w:t xml:space="preserve"> 17.9</w:t>
            </w:r>
          </w:p>
        </w:tc>
      </w:tr>
      <w:tr w:rsidR="00246B76" w:rsidRPr="00B72BB9" w14:paraId="464FA41C" w14:textId="77777777" w:rsidTr="00181211">
        <w:trPr>
          <w:trHeight w:val="408"/>
        </w:trPr>
        <w:tc>
          <w:tcPr>
            <w:tcW w:w="833" w:type="pct"/>
            <w:tcBorders>
              <w:top w:val="nil"/>
              <w:left w:val="nil"/>
              <w:bottom w:val="nil"/>
              <w:right w:val="nil"/>
            </w:tcBorders>
          </w:tcPr>
          <w:p w14:paraId="30E10E44"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44ED19CC" w14:textId="77777777" w:rsidR="00246B76" w:rsidRPr="00B72BB9" w:rsidRDefault="00246B76" w:rsidP="00181211">
            <w:pPr>
              <w:spacing w:line="276" w:lineRule="auto"/>
              <w:rPr>
                <w:sz w:val="20"/>
                <w:szCs w:val="20"/>
              </w:rPr>
            </w:pPr>
            <w:r>
              <w:rPr>
                <w:sz w:val="20"/>
                <w:szCs w:val="20"/>
              </w:rPr>
              <w:t>Emerald I</w:t>
            </w:r>
          </w:p>
        </w:tc>
        <w:tc>
          <w:tcPr>
            <w:tcW w:w="833" w:type="pct"/>
            <w:tcBorders>
              <w:top w:val="nil"/>
              <w:left w:val="nil"/>
              <w:bottom w:val="nil"/>
              <w:right w:val="nil"/>
            </w:tcBorders>
          </w:tcPr>
          <w:p w14:paraId="570391CE" w14:textId="77777777" w:rsidR="00246B76" w:rsidRPr="00B72BB9" w:rsidRDefault="00246B76" w:rsidP="00181211">
            <w:pPr>
              <w:spacing w:line="276" w:lineRule="auto"/>
              <w:jc w:val="center"/>
              <w:rPr>
                <w:sz w:val="20"/>
                <w:szCs w:val="20"/>
              </w:rPr>
            </w:pPr>
            <w:r>
              <w:rPr>
                <w:sz w:val="20"/>
                <w:szCs w:val="20"/>
              </w:rPr>
              <w:t xml:space="preserve">25.0 </w:t>
            </w:r>
            <w:r w:rsidRPr="00C40718">
              <w:rPr>
                <w:sz w:val="20"/>
                <w:szCs w:val="20"/>
              </w:rPr>
              <w:t>±</w:t>
            </w:r>
            <w:r>
              <w:rPr>
                <w:sz w:val="20"/>
                <w:szCs w:val="20"/>
              </w:rPr>
              <w:t xml:space="preserve"> 7.0</w:t>
            </w:r>
          </w:p>
        </w:tc>
        <w:tc>
          <w:tcPr>
            <w:tcW w:w="833" w:type="pct"/>
            <w:tcBorders>
              <w:top w:val="nil"/>
              <w:left w:val="nil"/>
              <w:bottom w:val="nil"/>
              <w:right w:val="nil"/>
            </w:tcBorders>
          </w:tcPr>
          <w:p w14:paraId="3EFD7EDA" w14:textId="77777777" w:rsidR="00246B76" w:rsidRDefault="00246B76" w:rsidP="00181211">
            <w:pPr>
              <w:spacing w:line="276" w:lineRule="auto"/>
              <w:jc w:val="center"/>
              <w:rPr>
                <w:sz w:val="20"/>
                <w:szCs w:val="20"/>
              </w:rPr>
            </w:pPr>
            <w:r>
              <w:rPr>
                <w:sz w:val="20"/>
                <w:szCs w:val="20"/>
              </w:rPr>
              <w:t xml:space="preserve">5.6 </w:t>
            </w:r>
            <w:r w:rsidRPr="00C40718">
              <w:rPr>
                <w:sz w:val="20"/>
                <w:szCs w:val="20"/>
              </w:rPr>
              <w:t>±</w:t>
            </w:r>
            <w:r>
              <w:rPr>
                <w:sz w:val="20"/>
                <w:szCs w:val="20"/>
              </w:rPr>
              <w:t xml:space="preserve"> 2.0</w:t>
            </w:r>
          </w:p>
        </w:tc>
        <w:tc>
          <w:tcPr>
            <w:tcW w:w="833" w:type="pct"/>
            <w:tcBorders>
              <w:top w:val="nil"/>
              <w:left w:val="nil"/>
              <w:bottom w:val="nil"/>
              <w:right w:val="nil"/>
            </w:tcBorders>
          </w:tcPr>
          <w:p w14:paraId="1DF84412" w14:textId="77777777" w:rsidR="00246B76" w:rsidRPr="00B72BB9" w:rsidRDefault="00246B76" w:rsidP="00181211">
            <w:pPr>
              <w:spacing w:line="276" w:lineRule="auto"/>
              <w:jc w:val="center"/>
              <w:rPr>
                <w:sz w:val="20"/>
                <w:szCs w:val="20"/>
              </w:rPr>
            </w:pPr>
            <w:r>
              <w:rPr>
                <w:sz w:val="20"/>
                <w:szCs w:val="20"/>
              </w:rPr>
              <w:t xml:space="preserve">22.8 </w:t>
            </w:r>
            <w:r w:rsidRPr="00C40718">
              <w:rPr>
                <w:sz w:val="20"/>
                <w:szCs w:val="20"/>
              </w:rPr>
              <w:t>±</w:t>
            </w:r>
            <w:r>
              <w:rPr>
                <w:sz w:val="20"/>
                <w:szCs w:val="20"/>
              </w:rPr>
              <w:t xml:space="preserve"> 6.3</w:t>
            </w:r>
          </w:p>
        </w:tc>
        <w:tc>
          <w:tcPr>
            <w:tcW w:w="836" w:type="pct"/>
            <w:tcBorders>
              <w:top w:val="nil"/>
              <w:left w:val="nil"/>
              <w:bottom w:val="nil"/>
              <w:right w:val="nil"/>
            </w:tcBorders>
          </w:tcPr>
          <w:p w14:paraId="585815F8" w14:textId="77777777" w:rsidR="00246B76" w:rsidRPr="00B72BB9" w:rsidRDefault="00246B76" w:rsidP="00181211">
            <w:pPr>
              <w:spacing w:line="276" w:lineRule="auto"/>
              <w:jc w:val="center"/>
              <w:rPr>
                <w:sz w:val="20"/>
                <w:szCs w:val="20"/>
              </w:rPr>
            </w:pPr>
            <w:r>
              <w:rPr>
                <w:sz w:val="20"/>
                <w:szCs w:val="20"/>
              </w:rPr>
              <w:t xml:space="preserve">38.6 </w:t>
            </w:r>
            <w:r w:rsidRPr="00C40718">
              <w:rPr>
                <w:sz w:val="20"/>
                <w:szCs w:val="20"/>
              </w:rPr>
              <w:t>±</w:t>
            </w:r>
            <w:r>
              <w:rPr>
                <w:sz w:val="20"/>
                <w:szCs w:val="20"/>
              </w:rPr>
              <w:t xml:space="preserve"> 12.0</w:t>
            </w:r>
          </w:p>
        </w:tc>
      </w:tr>
      <w:tr w:rsidR="00246B76" w:rsidRPr="00B72BB9" w14:paraId="21008A87" w14:textId="77777777" w:rsidTr="00181211">
        <w:trPr>
          <w:trHeight w:val="340"/>
        </w:trPr>
        <w:tc>
          <w:tcPr>
            <w:tcW w:w="833" w:type="pct"/>
            <w:tcBorders>
              <w:top w:val="nil"/>
              <w:left w:val="nil"/>
              <w:bottom w:val="nil"/>
              <w:right w:val="nil"/>
            </w:tcBorders>
          </w:tcPr>
          <w:p w14:paraId="785797EA" w14:textId="77777777" w:rsidR="00246B76" w:rsidRPr="00B72BB9" w:rsidRDefault="00246B76" w:rsidP="00181211">
            <w:pPr>
              <w:spacing w:line="276" w:lineRule="auto"/>
              <w:rPr>
                <w:sz w:val="20"/>
                <w:szCs w:val="20"/>
              </w:rPr>
            </w:pPr>
            <w:r>
              <w:rPr>
                <w:sz w:val="20"/>
                <w:szCs w:val="20"/>
              </w:rPr>
              <w:t>KR</w:t>
            </w:r>
          </w:p>
        </w:tc>
        <w:tc>
          <w:tcPr>
            <w:tcW w:w="832" w:type="pct"/>
            <w:tcBorders>
              <w:top w:val="nil"/>
              <w:left w:val="nil"/>
              <w:bottom w:val="nil"/>
              <w:right w:val="nil"/>
            </w:tcBorders>
          </w:tcPr>
          <w:p w14:paraId="536BF2BA" w14:textId="77777777" w:rsidR="00246B76" w:rsidRPr="00B72BB9" w:rsidRDefault="00246B76" w:rsidP="00181211">
            <w:pPr>
              <w:spacing w:line="276" w:lineRule="auto"/>
              <w:rPr>
                <w:sz w:val="20"/>
                <w:szCs w:val="20"/>
              </w:rPr>
            </w:pPr>
            <w:r>
              <w:rPr>
                <w:sz w:val="20"/>
                <w:szCs w:val="20"/>
              </w:rPr>
              <w:t>Challenger</w:t>
            </w:r>
          </w:p>
        </w:tc>
        <w:tc>
          <w:tcPr>
            <w:tcW w:w="833" w:type="pct"/>
            <w:tcBorders>
              <w:top w:val="nil"/>
              <w:left w:val="nil"/>
              <w:bottom w:val="nil"/>
              <w:right w:val="nil"/>
            </w:tcBorders>
          </w:tcPr>
          <w:p w14:paraId="6F4BBA2F" w14:textId="77777777" w:rsidR="00246B76" w:rsidRPr="00B72BB9" w:rsidRDefault="00246B76" w:rsidP="00181211">
            <w:pPr>
              <w:spacing w:line="276" w:lineRule="auto"/>
              <w:jc w:val="center"/>
              <w:rPr>
                <w:sz w:val="20"/>
                <w:szCs w:val="20"/>
              </w:rPr>
            </w:pPr>
            <w:r>
              <w:rPr>
                <w:sz w:val="20"/>
                <w:szCs w:val="20"/>
              </w:rPr>
              <w:t xml:space="preserve">13.9 </w:t>
            </w:r>
            <w:r w:rsidRPr="00C40718">
              <w:rPr>
                <w:sz w:val="20"/>
                <w:szCs w:val="20"/>
              </w:rPr>
              <w:t>±</w:t>
            </w:r>
            <w:r>
              <w:rPr>
                <w:sz w:val="20"/>
                <w:szCs w:val="20"/>
              </w:rPr>
              <w:t xml:space="preserve"> 3.6</w:t>
            </w:r>
          </w:p>
        </w:tc>
        <w:tc>
          <w:tcPr>
            <w:tcW w:w="833" w:type="pct"/>
            <w:tcBorders>
              <w:top w:val="nil"/>
              <w:left w:val="nil"/>
              <w:bottom w:val="nil"/>
              <w:right w:val="nil"/>
            </w:tcBorders>
          </w:tcPr>
          <w:p w14:paraId="47329D80" w14:textId="77777777" w:rsidR="00246B76" w:rsidRDefault="00246B76" w:rsidP="00181211">
            <w:pPr>
              <w:spacing w:line="276" w:lineRule="auto"/>
              <w:jc w:val="center"/>
              <w:rPr>
                <w:sz w:val="20"/>
                <w:szCs w:val="20"/>
              </w:rPr>
            </w:pPr>
            <w:r>
              <w:rPr>
                <w:sz w:val="20"/>
                <w:szCs w:val="20"/>
              </w:rPr>
              <w:t xml:space="preserve">3.8 </w:t>
            </w:r>
            <w:r w:rsidRPr="00C40718">
              <w:rPr>
                <w:sz w:val="20"/>
                <w:szCs w:val="20"/>
              </w:rPr>
              <w:t>±</w:t>
            </w:r>
            <w:r>
              <w:rPr>
                <w:sz w:val="20"/>
                <w:szCs w:val="20"/>
              </w:rPr>
              <w:t xml:space="preserve"> 1.5</w:t>
            </w:r>
          </w:p>
        </w:tc>
        <w:tc>
          <w:tcPr>
            <w:tcW w:w="833" w:type="pct"/>
            <w:tcBorders>
              <w:top w:val="nil"/>
              <w:left w:val="nil"/>
              <w:bottom w:val="nil"/>
              <w:right w:val="nil"/>
            </w:tcBorders>
          </w:tcPr>
          <w:p w14:paraId="7BD11E39" w14:textId="77777777" w:rsidR="00246B76" w:rsidRPr="00B72BB9" w:rsidRDefault="00246B76" w:rsidP="00181211">
            <w:pPr>
              <w:spacing w:line="276" w:lineRule="auto"/>
              <w:jc w:val="center"/>
              <w:rPr>
                <w:sz w:val="20"/>
                <w:szCs w:val="20"/>
              </w:rPr>
            </w:pPr>
            <w:r>
              <w:rPr>
                <w:sz w:val="20"/>
                <w:szCs w:val="20"/>
              </w:rPr>
              <w:t xml:space="preserve">33.0 </w:t>
            </w:r>
            <w:r w:rsidRPr="00C40718">
              <w:rPr>
                <w:sz w:val="20"/>
                <w:szCs w:val="20"/>
              </w:rPr>
              <w:t>±</w:t>
            </w:r>
            <w:r>
              <w:rPr>
                <w:sz w:val="20"/>
                <w:szCs w:val="20"/>
              </w:rPr>
              <w:t xml:space="preserve"> 7.2</w:t>
            </w:r>
          </w:p>
        </w:tc>
        <w:tc>
          <w:tcPr>
            <w:tcW w:w="836" w:type="pct"/>
            <w:tcBorders>
              <w:top w:val="nil"/>
              <w:left w:val="nil"/>
              <w:bottom w:val="nil"/>
              <w:right w:val="nil"/>
            </w:tcBorders>
          </w:tcPr>
          <w:p w14:paraId="20817209" w14:textId="77777777" w:rsidR="00246B76" w:rsidRPr="00B72BB9" w:rsidRDefault="00246B76" w:rsidP="00181211">
            <w:pPr>
              <w:spacing w:line="276" w:lineRule="auto"/>
              <w:jc w:val="center"/>
              <w:rPr>
                <w:sz w:val="20"/>
                <w:szCs w:val="20"/>
              </w:rPr>
            </w:pPr>
            <w:r>
              <w:rPr>
                <w:sz w:val="20"/>
                <w:szCs w:val="20"/>
              </w:rPr>
              <w:t xml:space="preserve">56.4 </w:t>
            </w:r>
            <w:r w:rsidRPr="00C40718">
              <w:rPr>
                <w:sz w:val="20"/>
                <w:szCs w:val="20"/>
              </w:rPr>
              <w:t>±</w:t>
            </w:r>
            <w:r>
              <w:rPr>
                <w:sz w:val="20"/>
                <w:szCs w:val="20"/>
              </w:rPr>
              <w:t xml:space="preserve"> 13.5</w:t>
            </w:r>
          </w:p>
        </w:tc>
      </w:tr>
      <w:tr w:rsidR="00246B76" w:rsidRPr="00B72BB9" w14:paraId="12492FC7" w14:textId="77777777" w:rsidTr="00181211">
        <w:trPr>
          <w:trHeight w:val="340"/>
        </w:trPr>
        <w:tc>
          <w:tcPr>
            <w:tcW w:w="833" w:type="pct"/>
            <w:tcBorders>
              <w:top w:val="nil"/>
              <w:left w:val="nil"/>
              <w:bottom w:val="nil"/>
              <w:right w:val="nil"/>
            </w:tcBorders>
          </w:tcPr>
          <w:p w14:paraId="2CCF2CEB"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22FAFEFA" w14:textId="77777777" w:rsidR="00246B76" w:rsidRPr="00B72BB9" w:rsidRDefault="00246B76" w:rsidP="00181211">
            <w:pPr>
              <w:spacing w:line="276" w:lineRule="auto"/>
              <w:rPr>
                <w:sz w:val="20"/>
                <w:szCs w:val="20"/>
              </w:rPr>
            </w:pPr>
            <w:r>
              <w:rPr>
                <w:sz w:val="20"/>
                <w:szCs w:val="20"/>
              </w:rPr>
              <w:t>Grandmaster</w:t>
            </w:r>
          </w:p>
        </w:tc>
        <w:tc>
          <w:tcPr>
            <w:tcW w:w="833" w:type="pct"/>
            <w:tcBorders>
              <w:top w:val="nil"/>
              <w:left w:val="nil"/>
              <w:bottom w:val="nil"/>
              <w:right w:val="nil"/>
            </w:tcBorders>
          </w:tcPr>
          <w:p w14:paraId="12147ADD" w14:textId="77777777" w:rsidR="00246B76" w:rsidRPr="00B72BB9" w:rsidRDefault="00246B76" w:rsidP="00181211">
            <w:pPr>
              <w:spacing w:line="276" w:lineRule="auto"/>
              <w:jc w:val="center"/>
              <w:rPr>
                <w:sz w:val="20"/>
                <w:szCs w:val="20"/>
              </w:rPr>
            </w:pPr>
            <w:r>
              <w:rPr>
                <w:sz w:val="20"/>
                <w:szCs w:val="20"/>
              </w:rPr>
              <w:t xml:space="preserve">16.8 </w:t>
            </w:r>
            <w:r w:rsidRPr="00C40718">
              <w:rPr>
                <w:sz w:val="20"/>
                <w:szCs w:val="20"/>
              </w:rPr>
              <w:t>±</w:t>
            </w:r>
            <w:r>
              <w:rPr>
                <w:sz w:val="20"/>
                <w:szCs w:val="20"/>
              </w:rPr>
              <w:t xml:space="preserve"> 5.4</w:t>
            </w:r>
          </w:p>
        </w:tc>
        <w:tc>
          <w:tcPr>
            <w:tcW w:w="833" w:type="pct"/>
            <w:tcBorders>
              <w:top w:val="nil"/>
              <w:left w:val="nil"/>
              <w:bottom w:val="nil"/>
              <w:right w:val="nil"/>
            </w:tcBorders>
          </w:tcPr>
          <w:p w14:paraId="36BA330C" w14:textId="77777777" w:rsidR="00246B76" w:rsidRDefault="00246B76" w:rsidP="00181211">
            <w:pPr>
              <w:spacing w:line="276" w:lineRule="auto"/>
              <w:jc w:val="center"/>
              <w:rPr>
                <w:sz w:val="20"/>
                <w:szCs w:val="20"/>
              </w:rPr>
            </w:pPr>
            <w:r>
              <w:rPr>
                <w:sz w:val="20"/>
                <w:szCs w:val="20"/>
              </w:rPr>
              <w:t xml:space="preserve">4.4 </w:t>
            </w:r>
            <w:r w:rsidRPr="00C40718">
              <w:rPr>
                <w:sz w:val="20"/>
                <w:szCs w:val="20"/>
              </w:rPr>
              <w:t>±</w:t>
            </w:r>
            <w:r>
              <w:rPr>
                <w:sz w:val="20"/>
                <w:szCs w:val="20"/>
              </w:rPr>
              <w:t xml:space="preserve"> 1.7</w:t>
            </w:r>
          </w:p>
        </w:tc>
        <w:tc>
          <w:tcPr>
            <w:tcW w:w="833" w:type="pct"/>
            <w:tcBorders>
              <w:top w:val="nil"/>
              <w:left w:val="nil"/>
              <w:bottom w:val="nil"/>
              <w:right w:val="nil"/>
            </w:tcBorders>
          </w:tcPr>
          <w:p w14:paraId="20452722" w14:textId="77777777" w:rsidR="00246B76" w:rsidRPr="00B72BB9" w:rsidRDefault="00246B76" w:rsidP="00181211">
            <w:pPr>
              <w:spacing w:line="276" w:lineRule="auto"/>
              <w:jc w:val="center"/>
              <w:rPr>
                <w:sz w:val="20"/>
                <w:szCs w:val="20"/>
              </w:rPr>
            </w:pPr>
            <w:r>
              <w:rPr>
                <w:sz w:val="20"/>
                <w:szCs w:val="20"/>
              </w:rPr>
              <w:t xml:space="preserve">31.3 </w:t>
            </w:r>
            <w:r w:rsidRPr="00C40718">
              <w:rPr>
                <w:sz w:val="20"/>
                <w:szCs w:val="20"/>
              </w:rPr>
              <w:t>±</w:t>
            </w:r>
            <w:r>
              <w:rPr>
                <w:sz w:val="20"/>
                <w:szCs w:val="20"/>
              </w:rPr>
              <w:t xml:space="preserve"> 10.8</w:t>
            </w:r>
          </w:p>
        </w:tc>
        <w:tc>
          <w:tcPr>
            <w:tcW w:w="836" w:type="pct"/>
            <w:tcBorders>
              <w:top w:val="nil"/>
              <w:left w:val="nil"/>
              <w:bottom w:val="nil"/>
              <w:right w:val="nil"/>
            </w:tcBorders>
          </w:tcPr>
          <w:p w14:paraId="17FAF9AD" w14:textId="77777777" w:rsidR="00246B76" w:rsidRPr="00B72BB9" w:rsidRDefault="00246B76" w:rsidP="00181211">
            <w:pPr>
              <w:spacing w:line="276" w:lineRule="auto"/>
              <w:jc w:val="center"/>
              <w:rPr>
                <w:sz w:val="20"/>
                <w:szCs w:val="20"/>
              </w:rPr>
            </w:pPr>
            <w:r>
              <w:rPr>
                <w:sz w:val="20"/>
                <w:szCs w:val="20"/>
              </w:rPr>
              <w:t xml:space="preserve">49.6 </w:t>
            </w:r>
            <w:r w:rsidRPr="00C40718">
              <w:rPr>
                <w:sz w:val="20"/>
                <w:szCs w:val="20"/>
              </w:rPr>
              <w:t>±</w:t>
            </w:r>
            <w:r>
              <w:rPr>
                <w:sz w:val="20"/>
                <w:szCs w:val="20"/>
              </w:rPr>
              <w:t xml:space="preserve"> 14.4</w:t>
            </w:r>
          </w:p>
        </w:tc>
      </w:tr>
      <w:tr w:rsidR="00246B76" w:rsidRPr="00B72BB9" w14:paraId="5CA0FC12" w14:textId="77777777" w:rsidTr="00181211">
        <w:trPr>
          <w:trHeight w:val="340"/>
        </w:trPr>
        <w:tc>
          <w:tcPr>
            <w:tcW w:w="833" w:type="pct"/>
            <w:tcBorders>
              <w:top w:val="nil"/>
              <w:left w:val="nil"/>
              <w:bottom w:val="nil"/>
              <w:right w:val="nil"/>
            </w:tcBorders>
          </w:tcPr>
          <w:p w14:paraId="1CBA952D"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3CF99572" w14:textId="77777777" w:rsidR="00246B76" w:rsidRPr="00B72BB9" w:rsidRDefault="00246B76" w:rsidP="00181211">
            <w:pPr>
              <w:spacing w:line="276" w:lineRule="auto"/>
              <w:rPr>
                <w:sz w:val="20"/>
                <w:szCs w:val="20"/>
              </w:rPr>
            </w:pPr>
            <w:r>
              <w:rPr>
                <w:sz w:val="20"/>
                <w:szCs w:val="20"/>
              </w:rPr>
              <w:t>Master</w:t>
            </w:r>
          </w:p>
        </w:tc>
        <w:tc>
          <w:tcPr>
            <w:tcW w:w="833" w:type="pct"/>
            <w:tcBorders>
              <w:top w:val="nil"/>
              <w:left w:val="nil"/>
              <w:bottom w:val="nil"/>
              <w:right w:val="nil"/>
            </w:tcBorders>
          </w:tcPr>
          <w:p w14:paraId="4DE715CC" w14:textId="77777777" w:rsidR="00246B76" w:rsidRPr="00B72BB9" w:rsidRDefault="00246B76" w:rsidP="00181211">
            <w:pPr>
              <w:spacing w:line="276" w:lineRule="auto"/>
              <w:jc w:val="center"/>
              <w:rPr>
                <w:sz w:val="20"/>
                <w:szCs w:val="20"/>
              </w:rPr>
            </w:pPr>
            <w:r>
              <w:rPr>
                <w:sz w:val="20"/>
                <w:szCs w:val="20"/>
              </w:rPr>
              <w:t xml:space="preserve">17.4 </w:t>
            </w:r>
            <w:r w:rsidRPr="00C40718">
              <w:rPr>
                <w:sz w:val="20"/>
                <w:szCs w:val="20"/>
              </w:rPr>
              <w:t>±</w:t>
            </w:r>
            <w:r>
              <w:rPr>
                <w:sz w:val="20"/>
                <w:szCs w:val="20"/>
              </w:rPr>
              <w:t xml:space="preserve"> 6.8</w:t>
            </w:r>
          </w:p>
        </w:tc>
        <w:tc>
          <w:tcPr>
            <w:tcW w:w="833" w:type="pct"/>
            <w:tcBorders>
              <w:top w:val="nil"/>
              <w:left w:val="nil"/>
              <w:bottom w:val="nil"/>
              <w:right w:val="nil"/>
            </w:tcBorders>
          </w:tcPr>
          <w:p w14:paraId="353C15B7" w14:textId="77777777" w:rsidR="00246B76" w:rsidRDefault="00246B76" w:rsidP="00181211">
            <w:pPr>
              <w:spacing w:line="276" w:lineRule="auto"/>
              <w:jc w:val="center"/>
              <w:rPr>
                <w:sz w:val="20"/>
                <w:szCs w:val="20"/>
              </w:rPr>
            </w:pPr>
            <w:r>
              <w:rPr>
                <w:sz w:val="20"/>
                <w:szCs w:val="20"/>
              </w:rPr>
              <w:t xml:space="preserve">5.0 </w:t>
            </w:r>
            <w:r w:rsidRPr="00C40718">
              <w:rPr>
                <w:sz w:val="20"/>
                <w:szCs w:val="20"/>
              </w:rPr>
              <w:t>±</w:t>
            </w:r>
            <w:r>
              <w:rPr>
                <w:sz w:val="20"/>
                <w:szCs w:val="20"/>
              </w:rPr>
              <w:t xml:space="preserve"> 2.0</w:t>
            </w:r>
          </w:p>
        </w:tc>
        <w:tc>
          <w:tcPr>
            <w:tcW w:w="833" w:type="pct"/>
            <w:tcBorders>
              <w:top w:val="nil"/>
              <w:left w:val="nil"/>
              <w:bottom w:val="nil"/>
              <w:right w:val="nil"/>
            </w:tcBorders>
          </w:tcPr>
          <w:p w14:paraId="5D19E8D1" w14:textId="77777777" w:rsidR="00246B76" w:rsidRPr="00B72BB9" w:rsidRDefault="00246B76" w:rsidP="00181211">
            <w:pPr>
              <w:spacing w:line="276" w:lineRule="auto"/>
              <w:jc w:val="center"/>
              <w:rPr>
                <w:sz w:val="20"/>
                <w:szCs w:val="20"/>
              </w:rPr>
            </w:pPr>
            <w:r>
              <w:rPr>
                <w:sz w:val="20"/>
                <w:szCs w:val="20"/>
              </w:rPr>
              <w:t xml:space="preserve">30.3 </w:t>
            </w:r>
            <w:r w:rsidRPr="00C40718">
              <w:rPr>
                <w:sz w:val="20"/>
                <w:szCs w:val="20"/>
              </w:rPr>
              <w:t>±</w:t>
            </w:r>
            <w:r>
              <w:rPr>
                <w:sz w:val="20"/>
                <w:szCs w:val="20"/>
              </w:rPr>
              <w:t xml:space="preserve"> 10.2</w:t>
            </w:r>
          </w:p>
        </w:tc>
        <w:tc>
          <w:tcPr>
            <w:tcW w:w="836" w:type="pct"/>
            <w:tcBorders>
              <w:top w:val="nil"/>
              <w:left w:val="nil"/>
              <w:bottom w:val="nil"/>
              <w:right w:val="nil"/>
            </w:tcBorders>
          </w:tcPr>
          <w:p w14:paraId="460583E0" w14:textId="77777777" w:rsidR="00246B76" w:rsidRPr="00B72BB9" w:rsidRDefault="00246B76" w:rsidP="00181211">
            <w:pPr>
              <w:spacing w:line="276" w:lineRule="auto"/>
              <w:jc w:val="center"/>
              <w:rPr>
                <w:sz w:val="20"/>
                <w:szCs w:val="20"/>
              </w:rPr>
            </w:pPr>
            <w:r>
              <w:rPr>
                <w:sz w:val="20"/>
                <w:szCs w:val="20"/>
              </w:rPr>
              <w:t xml:space="preserve">53.2 </w:t>
            </w:r>
            <w:r w:rsidRPr="00C40718">
              <w:rPr>
                <w:sz w:val="20"/>
                <w:szCs w:val="20"/>
              </w:rPr>
              <w:t>±</w:t>
            </w:r>
            <w:r>
              <w:rPr>
                <w:sz w:val="20"/>
                <w:szCs w:val="20"/>
              </w:rPr>
              <w:t xml:space="preserve"> 21.1</w:t>
            </w:r>
          </w:p>
        </w:tc>
      </w:tr>
      <w:tr w:rsidR="00246B76" w:rsidRPr="00B72BB9" w14:paraId="024EF13A" w14:textId="77777777" w:rsidTr="00181211">
        <w:trPr>
          <w:trHeight w:val="387"/>
        </w:trPr>
        <w:tc>
          <w:tcPr>
            <w:tcW w:w="833" w:type="pct"/>
            <w:tcBorders>
              <w:top w:val="nil"/>
              <w:left w:val="nil"/>
              <w:bottom w:val="nil"/>
              <w:right w:val="nil"/>
            </w:tcBorders>
          </w:tcPr>
          <w:p w14:paraId="26F31442"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565CFA06" w14:textId="77777777" w:rsidR="00246B76" w:rsidRPr="00B72BB9" w:rsidRDefault="00246B76" w:rsidP="00181211">
            <w:pPr>
              <w:spacing w:line="276" w:lineRule="auto"/>
              <w:rPr>
                <w:sz w:val="20"/>
                <w:szCs w:val="20"/>
              </w:rPr>
            </w:pPr>
            <w:r>
              <w:rPr>
                <w:sz w:val="20"/>
                <w:szCs w:val="20"/>
              </w:rPr>
              <w:t>Emerald I</w:t>
            </w:r>
          </w:p>
        </w:tc>
        <w:tc>
          <w:tcPr>
            <w:tcW w:w="833" w:type="pct"/>
            <w:tcBorders>
              <w:top w:val="nil"/>
              <w:left w:val="nil"/>
              <w:bottom w:val="nil"/>
              <w:right w:val="nil"/>
            </w:tcBorders>
          </w:tcPr>
          <w:p w14:paraId="47F08E0C" w14:textId="77777777" w:rsidR="00246B76" w:rsidRPr="00B72BB9" w:rsidRDefault="00246B76" w:rsidP="00181211">
            <w:pPr>
              <w:spacing w:line="276" w:lineRule="auto"/>
              <w:jc w:val="center"/>
              <w:rPr>
                <w:sz w:val="20"/>
                <w:szCs w:val="20"/>
              </w:rPr>
            </w:pPr>
            <w:r>
              <w:rPr>
                <w:sz w:val="20"/>
                <w:szCs w:val="20"/>
              </w:rPr>
              <w:t xml:space="preserve">17.9 </w:t>
            </w:r>
            <w:r w:rsidRPr="00C40718">
              <w:rPr>
                <w:sz w:val="20"/>
                <w:szCs w:val="20"/>
              </w:rPr>
              <w:t>±</w:t>
            </w:r>
            <w:r>
              <w:rPr>
                <w:sz w:val="20"/>
                <w:szCs w:val="20"/>
              </w:rPr>
              <w:t xml:space="preserve"> 6.7</w:t>
            </w:r>
          </w:p>
        </w:tc>
        <w:tc>
          <w:tcPr>
            <w:tcW w:w="833" w:type="pct"/>
            <w:tcBorders>
              <w:top w:val="nil"/>
              <w:left w:val="nil"/>
              <w:bottom w:val="nil"/>
              <w:right w:val="nil"/>
            </w:tcBorders>
          </w:tcPr>
          <w:p w14:paraId="72864257" w14:textId="77777777" w:rsidR="00246B76" w:rsidRDefault="00246B76" w:rsidP="00181211">
            <w:pPr>
              <w:spacing w:line="276" w:lineRule="auto"/>
              <w:jc w:val="center"/>
              <w:rPr>
                <w:sz w:val="20"/>
                <w:szCs w:val="20"/>
              </w:rPr>
            </w:pPr>
            <w:r>
              <w:rPr>
                <w:sz w:val="20"/>
                <w:szCs w:val="20"/>
              </w:rPr>
              <w:t xml:space="preserve">5.3 </w:t>
            </w:r>
            <w:r w:rsidRPr="00C40718">
              <w:rPr>
                <w:sz w:val="20"/>
                <w:szCs w:val="20"/>
              </w:rPr>
              <w:t>±</w:t>
            </w:r>
            <w:r>
              <w:rPr>
                <w:sz w:val="20"/>
                <w:szCs w:val="20"/>
              </w:rPr>
              <w:t xml:space="preserve"> 1.8</w:t>
            </w:r>
          </w:p>
        </w:tc>
        <w:tc>
          <w:tcPr>
            <w:tcW w:w="833" w:type="pct"/>
            <w:tcBorders>
              <w:top w:val="nil"/>
              <w:left w:val="nil"/>
              <w:bottom w:val="nil"/>
              <w:right w:val="nil"/>
            </w:tcBorders>
          </w:tcPr>
          <w:p w14:paraId="23ABF799" w14:textId="77777777" w:rsidR="00246B76" w:rsidRPr="00B72BB9" w:rsidRDefault="00246B76" w:rsidP="00181211">
            <w:pPr>
              <w:spacing w:line="276" w:lineRule="auto"/>
              <w:jc w:val="center"/>
              <w:rPr>
                <w:sz w:val="20"/>
                <w:szCs w:val="20"/>
              </w:rPr>
            </w:pPr>
            <w:r>
              <w:rPr>
                <w:sz w:val="20"/>
                <w:szCs w:val="20"/>
              </w:rPr>
              <w:t xml:space="preserve">30.0 </w:t>
            </w:r>
            <w:r w:rsidRPr="00C40718">
              <w:rPr>
                <w:sz w:val="20"/>
                <w:szCs w:val="20"/>
              </w:rPr>
              <w:t>±</w:t>
            </w:r>
            <w:r>
              <w:rPr>
                <w:sz w:val="20"/>
                <w:szCs w:val="20"/>
              </w:rPr>
              <w:t xml:space="preserve"> 10.1</w:t>
            </w:r>
          </w:p>
        </w:tc>
        <w:tc>
          <w:tcPr>
            <w:tcW w:w="836" w:type="pct"/>
            <w:tcBorders>
              <w:top w:val="nil"/>
              <w:left w:val="nil"/>
              <w:bottom w:val="nil"/>
              <w:right w:val="nil"/>
            </w:tcBorders>
          </w:tcPr>
          <w:p w14:paraId="174662F4" w14:textId="77777777" w:rsidR="00246B76" w:rsidRPr="00B72BB9" w:rsidRDefault="00246B76" w:rsidP="00181211">
            <w:pPr>
              <w:spacing w:line="276" w:lineRule="auto"/>
              <w:jc w:val="center"/>
              <w:rPr>
                <w:sz w:val="20"/>
                <w:szCs w:val="20"/>
              </w:rPr>
            </w:pPr>
            <w:r>
              <w:rPr>
                <w:sz w:val="20"/>
                <w:szCs w:val="20"/>
              </w:rPr>
              <w:t xml:space="preserve">47.0 </w:t>
            </w:r>
            <w:r w:rsidRPr="00C40718">
              <w:rPr>
                <w:sz w:val="20"/>
                <w:szCs w:val="20"/>
              </w:rPr>
              <w:t>±</w:t>
            </w:r>
            <w:r>
              <w:rPr>
                <w:sz w:val="20"/>
                <w:szCs w:val="20"/>
              </w:rPr>
              <w:t xml:space="preserve"> 15.4</w:t>
            </w:r>
          </w:p>
        </w:tc>
      </w:tr>
      <w:tr w:rsidR="00246B76" w:rsidRPr="00B72BB9" w14:paraId="75732D89" w14:textId="77777777" w:rsidTr="00181211">
        <w:trPr>
          <w:trHeight w:val="340"/>
        </w:trPr>
        <w:tc>
          <w:tcPr>
            <w:tcW w:w="833" w:type="pct"/>
            <w:tcBorders>
              <w:top w:val="nil"/>
              <w:left w:val="nil"/>
              <w:bottom w:val="nil"/>
              <w:right w:val="nil"/>
            </w:tcBorders>
          </w:tcPr>
          <w:p w14:paraId="2988F598" w14:textId="77777777" w:rsidR="00246B76" w:rsidRPr="00B72BB9" w:rsidRDefault="00246B76" w:rsidP="00181211">
            <w:pPr>
              <w:spacing w:line="276" w:lineRule="auto"/>
              <w:rPr>
                <w:sz w:val="20"/>
                <w:szCs w:val="20"/>
              </w:rPr>
            </w:pPr>
            <w:r>
              <w:rPr>
                <w:sz w:val="20"/>
                <w:szCs w:val="20"/>
              </w:rPr>
              <w:t>EUW1</w:t>
            </w:r>
          </w:p>
        </w:tc>
        <w:tc>
          <w:tcPr>
            <w:tcW w:w="832" w:type="pct"/>
            <w:tcBorders>
              <w:top w:val="nil"/>
              <w:left w:val="nil"/>
              <w:bottom w:val="nil"/>
              <w:right w:val="nil"/>
            </w:tcBorders>
          </w:tcPr>
          <w:p w14:paraId="0642928E" w14:textId="77777777" w:rsidR="00246B76" w:rsidRPr="00B72BB9" w:rsidRDefault="00246B76" w:rsidP="00181211">
            <w:pPr>
              <w:spacing w:line="276" w:lineRule="auto"/>
              <w:rPr>
                <w:sz w:val="20"/>
                <w:szCs w:val="20"/>
              </w:rPr>
            </w:pPr>
            <w:r>
              <w:rPr>
                <w:sz w:val="20"/>
                <w:szCs w:val="20"/>
              </w:rPr>
              <w:t>Challenger</w:t>
            </w:r>
          </w:p>
        </w:tc>
        <w:tc>
          <w:tcPr>
            <w:tcW w:w="833" w:type="pct"/>
            <w:tcBorders>
              <w:top w:val="nil"/>
              <w:left w:val="nil"/>
              <w:bottom w:val="nil"/>
              <w:right w:val="nil"/>
            </w:tcBorders>
          </w:tcPr>
          <w:p w14:paraId="42FCFCE5" w14:textId="77777777" w:rsidR="00246B76" w:rsidRPr="00B72BB9" w:rsidRDefault="00246B76" w:rsidP="00181211">
            <w:pPr>
              <w:spacing w:line="276" w:lineRule="auto"/>
              <w:jc w:val="center"/>
              <w:rPr>
                <w:sz w:val="20"/>
                <w:szCs w:val="20"/>
              </w:rPr>
            </w:pPr>
            <w:r>
              <w:rPr>
                <w:sz w:val="20"/>
                <w:szCs w:val="20"/>
              </w:rPr>
              <w:t xml:space="preserve">18.3 </w:t>
            </w:r>
            <w:r w:rsidRPr="00C40718">
              <w:rPr>
                <w:sz w:val="20"/>
                <w:szCs w:val="20"/>
              </w:rPr>
              <w:t>±</w:t>
            </w:r>
            <w:r>
              <w:rPr>
                <w:sz w:val="20"/>
                <w:szCs w:val="20"/>
              </w:rPr>
              <w:t xml:space="preserve"> 5.6</w:t>
            </w:r>
          </w:p>
        </w:tc>
        <w:tc>
          <w:tcPr>
            <w:tcW w:w="833" w:type="pct"/>
            <w:tcBorders>
              <w:top w:val="nil"/>
              <w:left w:val="nil"/>
              <w:bottom w:val="nil"/>
              <w:right w:val="nil"/>
            </w:tcBorders>
          </w:tcPr>
          <w:p w14:paraId="7E7EB694" w14:textId="77777777" w:rsidR="00246B76" w:rsidRDefault="00246B76" w:rsidP="00181211">
            <w:pPr>
              <w:spacing w:line="276" w:lineRule="auto"/>
              <w:jc w:val="center"/>
              <w:rPr>
                <w:sz w:val="20"/>
                <w:szCs w:val="20"/>
              </w:rPr>
            </w:pPr>
            <w:r>
              <w:rPr>
                <w:sz w:val="20"/>
                <w:szCs w:val="20"/>
              </w:rPr>
              <w:t xml:space="preserve">3.1 </w:t>
            </w:r>
            <w:r w:rsidRPr="00C40718">
              <w:rPr>
                <w:sz w:val="20"/>
                <w:szCs w:val="20"/>
              </w:rPr>
              <w:t>±</w:t>
            </w:r>
            <w:r>
              <w:rPr>
                <w:sz w:val="20"/>
                <w:szCs w:val="20"/>
              </w:rPr>
              <w:t xml:space="preserve"> 1.3</w:t>
            </w:r>
          </w:p>
        </w:tc>
        <w:tc>
          <w:tcPr>
            <w:tcW w:w="833" w:type="pct"/>
            <w:tcBorders>
              <w:top w:val="nil"/>
              <w:left w:val="nil"/>
              <w:bottom w:val="nil"/>
              <w:right w:val="nil"/>
            </w:tcBorders>
          </w:tcPr>
          <w:p w14:paraId="5E2F405A" w14:textId="77777777" w:rsidR="00246B76" w:rsidRPr="00B72BB9" w:rsidRDefault="00246B76" w:rsidP="00181211">
            <w:pPr>
              <w:spacing w:line="276" w:lineRule="auto"/>
              <w:jc w:val="center"/>
              <w:rPr>
                <w:sz w:val="20"/>
                <w:szCs w:val="20"/>
              </w:rPr>
            </w:pPr>
            <w:r>
              <w:rPr>
                <w:sz w:val="20"/>
                <w:szCs w:val="20"/>
              </w:rPr>
              <w:t xml:space="preserve">28.4 </w:t>
            </w:r>
            <w:r w:rsidRPr="00C40718">
              <w:rPr>
                <w:sz w:val="20"/>
                <w:szCs w:val="20"/>
              </w:rPr>
              <w:t>±</w:t>
            </w:r>
            <w:r>
              <w:rPr>
                <w:sz w:val="20"/>
                <w:szCs w:val="20"/>
              </w:rPr>
              <w:t xml:space="preserve"> 8.5</w:t>
            </w:r>
          </w:p>
        </w:tc>
        <w:tc>
          <w:tcPr>
            <w:tcW w:w="836" w:type="pct"/>
            <w:tcBorders>
              <w:top w:val="nil"/>
              <w:left w:val="nil"/>
              <w:bottom w:val="nil"/>
              <w:right w:val="nil"/>
            </w:tcBorders>
          </w:tcPr>
          <w:p w14:paraId="55C4AECF" w14:textId="77777777" w:rsidR="00246B76" w:rsidRPr="00B72BB9" w:rsidRDefault="00246B76" w:rsidP="00181211">
            <w:pPr>
              <w:spacing w:line="276" w:lineRule="auto"/>
              <w:jc w:val="center"/>
              <w:rPr>
                <w:sz w:val="20"/>
                <w:szCs w:val="20"/>
              </w:rPr>
            </w:pPr>
            <w:r>
              <w:rPr>
                <w:sz w:val="20"/>
                <w:szCs w:val="20"/>
              </w:rPr>
              <w:t xml:space="preserve">49.9 </w:t>
            </w:r>
            <w:r w:rsidRPr="00C40718">
              <w:rPr>
                <w:sz w:val="20"/>
                <w:szCs w:val="20"/>
              </w:rPr>
              <w:t>±</w:t>
            </w:r>
            <w:r>
              <w:rPr>
                <w:sz w:val="20"/>
                <w:szCs w:val="20"/>
              </w:rPr>
              <w:t xml:space="preserve"> 12.2</w:t>
            </w:r>
          </w:p>
        </w:tc>
      </w:tr>
      <w:tr w:rsidR="00246B76" w:rsidRPr="00B72BB9" w14:paraId="484B2210" w14:textId="77777777" w:rsidTr="00181211">
        <w:trPr>
          <w:trHeight w:val="340"/>
        </w:trPr>
        <w:tc>
          <w:tcPr>
            <w:tcW w:w="833" w:type="pct"/>
            <w:tcBorders>
              <w:top w:val="nil"/>
              <w:left w:val="nil"/>
              <w:bottom w:val="nil"/>
              <w:right w:val="nil"/>
            </w:tcBorders>
          </w:tcPr>
          <w:p w14:paraId="5EA6E803"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441FB60C" w14:textId="77777777" w:rsidR="00246B76" w:rsidRPr="00B72BB9" w:rsidRDefault="00246B76" w:rsidP="00181211">
            <w:pPr>
              <w:spacing w:line="276" w:lineRule="auto"/>
              <w:rPr>
                <w:sz w:val="20"/>
                <w:szCs w:val="20"/>
              </w:rPr>
            </w:pPr>
            <w:r>
              <w:rPr>
                <w:sz w:val="20"/>
                <w:szCs w:val="20"/>
              </w:rPr>
              <w:t>Grandmaster</w:t>
            </w:r>
          </w:p>
        </w:tc>
        <w:tc>
          <w:tcPr>
            <w:tcW w:w="833" w:type="pct"/>
            <w:tcBorders>
              <w:top w:val="nil"/>
              <w:left w:val="nil"/>
              <w:bottom w:val="nil"/>
              <w:right w:val="nil"/>
            </w:tcBorders>
          </w:tcPr>
          <w:p w14:paraId="0F97C6F9" w14:textId="77777777" w:rsidR="00246B76" w:rsidRPr="00B72BB9" w:rsidRDefault="00246B76" w:rsidP="00181211">
            <w:pPr>
              <w:spacing w:line="276" w:lineRule="auto"/>
              <w:jc w:val="center"/>
              <w:rPr>
                <w:sz w:val="20"/>
                <w:szCs w:val="20"/>
              </w:rPr>
            </w:pPr>
            <w:r>
              <w:rPr>
                <w:sz w:val="20"/>
                <w:szCs w:val="20"/>
              </w:rPr>
              <w:t xml:space="preserve">15.6 </w:t>
            </w:r>
            <w:r w:rsidRPr="00C40718">
              <w:rPr>
                <w:sz w:val="20"/>
                <w:szCs w:val="20"/>
              </w:rPr>
              <w:t>±</w:t>
            </w:r>
            <w:r>
              <w:rPr>
                <w:sz w:val="20"/>
                <w:szCs w:val="20"/>
              </w:rPr>
              <w:t xml:space="preserve"> 4.2</w:t>
            </w:r>
          </w:p>
        </w:tc>
        <w:tc>
          <w:tcPr>
            <w:tcW w:w="833" w:type="pct"/>
            <w:tcBorders>
              <w:top w:val="nil"/>
              <w:left w:val="nil"/>
              <w:bottom w:val="nil"/>
              <w:right w:val="nil"/>
            </w:tcBorders>
          </w:tcPr>
          <w:p w14:paraId="4CB9056A" w14:textId="77777777" w:rsidR="00246B76" w:rsidRDefault="00246B76" w:rsidP="00181211">
            <w:pPr>
              <w:spacing w:line="276" w:lineRule="auto"/>
              <w:jc w:val="center"/>
              <w:rPr>
                <w:sz w:val="20"/>
                <w:szCs w:val="20"/>
              </w:rPr>
            </w:pPr>
            <w:r>
              <w:rPr>
                <w:sz w:val="20"/>
                <w:szCs w:val="20"/>
              </w:rPr>
              <w:t xml:space="preserve">3.7 </w:t>
            </w:r>
            <w:r w:rsidRPr="00C40718">
              <w:rPr>
                <w:sz w:val="20"/>
                <w:szCs w:val="20"/>
              </w:rPr>
              <w:t>±</w:t>
            </w:r>
            <w:r>
              <w:rPr>
                <w:sz w:val="20"/>
                <w:szCs w:val="20"/>
              </w:rPr>
              <w:t xml:space="preserve"> 1.8</w:t>
            </w:r>
          </w:p>
        </w:tc>
        <w:tc>
          <w:tcPr>
            <w:tcW w:w="833" w:type="pct"/>
            <w:tcBorders>
              <w:top w:val="nil"/>
              <w:left w:val="nil"/>
              <w:bottom w:val="nil"/>
              <w:right w:val="nil"/>
            </w:tcBorders>
          </w:tcPr>
          <w:p w14:paraId="71118DDE" w14:textId="77777777" w:rsidR="00246B76" w:rsidRPr="00B72BB9" w:rsidRDefault="00246B76" w:rsidP="00181211">
            <w:pPr>
              <w:spacing w:line="276" w:lineRule="auto"/>
              <w:jc w:val="center"/>
              <w:rPr>
                <w:sz w:val="20"/>
                <w:szCs w:val="20"/>
              </w:rPr>
            </w:pPr>
            <w:r>
              <w:rPr>
                <w:sz w:val="20"/>
                <w:szCs w:val="20"/>
              </w:rPr>
              <w:t xml:space="preserve">30.9 </w:t>
            </w:r>
            <w:r w:rsidRPr="00C40718">
              <w:rPr>
                <w:sz w:val="20"/>
                <w:szCs w:val="20"/>
              </w:rPr>
              <w:t>±</w:t>
            </w:r>
            <w:r>
              <w:rPr>
                <w:sz w:val="20"/>
                <w:szCs w:val="20"/>
              </w:rPr>
              <w:t xml:space="preserve"> 9.0</w:t>
            </w:r>
          </w:p>
        </w:tc>
        <w:tc>
          <w:tcPr>
            <w:tcW w:w="836" w:type="pct"/>
            <w:tcBorders>
              <w:top w:val="nil"/>
              <w:left w:val="nil"/>
              <w:bottom w:val="nil"/>
              <w:right w:val="nil"/>
            </w:tcBorders>
          </w:tcPr>
          <w:p w14:paraId="497C8019" w14:textId="77777777" w:rsidR="00246B76" w:rsidRPr="00B72BB9" w:rsidRDefault="00246B76" w:rsidP="00181211">
            <w:pPr>
              <w:spacing w:line="276" w:lineRule="auto"/>
              <w:jc w:val="center"/>
              <w:rPr>
                <w:sz w:val="20"/>
                <w:szCs w:val="20"/>
              </w:rPr>
            </w:pPr>
            <w:r>
              <w:rPr>
                <w:sz w:val="20"/>
                <w:szCs w:val="20"/>
              </w:rPr>
              <w:t xml:space="preserve">52.9 </w:t>
            </w:r>
            <w:r w:rsidRPr="00C40718">
              <w:rPr>
                <w:sz w:val="20"/>
                <w:szCs w:val="20"/>
              </w:rPr>
              <w:t>±</w:t>
            </w:r>
            <w:r>
              <w:rPr>
                <w:sz w:val="20"/>
                <w:szCs w:val="20"/>
              </w:rPr>
              <w:t xml:space="preserve"> 16.5</w:t>
            </w:r>
          </w:p>
        </w:tc>
      </w:tr>
      <w:tr w:rsidR="00246B76" w:rsidRPr="00B72BB9" w14:paraId="7C427561" w14:textId="77777777" w:rsidTr="00181211">
        <w:trPr>
          <w:trHeight w:val="340"/>
        </w:trPr>
        <w:tc>
          <w:tcPr>
            <w:tcW w:w="833" w:type="pct"/>
            <w:tcBorders>
              <w:top w:val="nil"/>
              <w:left w:val="nil"/>
              <w:bottom w:val="nil"/>
              <w:right w:val="nil"/>
            </w:tcBorders>
          </w:tcPr>
          <w:p w14:paraId="056697A2"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4BD3D0D5" w14:textId="77777777" w:rsidR="00246B76" w:rsidRPr="00B72BB9" w:rsidRDefault="00246B76" w:rsidP="00181211">
            <w:pPr>
              <w:spacing w:line="276" w:lineRule="auto"/>
              <w:rPr>
                <w:sz w:val="20"/>
                <w:szCs w:val="20"/>
              </w:rPr>
            </w:pPr>
            <w:r>
              <w:rPr>
                <w:sz w:val="20"/>
                <w:szCs w:val="20"/>
              </w:rPr>
              <w:t>Master</w:t>
            </w:r>
          </w:p>
        </w:tc>
        <w:tc>
          <w:tcPr>
            <w:tcW w:w="833" w:type="pct"/>
            <w:tcBorders>
              <w:top w:val="nil"/>
              <w:left w:val="nil"/>
              <w:bottom w:val="nil"/>
              <w:right w:val="nil"/>
            </w:tcBorders>
          </w:tcPr>
          <w:p w14:paraId="17FF50F3" w14:textId="77777777" w:rsidR="00246B76" w:rsidRPr="00F8315E" w:rsidRDefault="00246B76" w:rsidP="00181211">
            <w:pPr>
              <w:spacing w:line="276" w:lineRule="auto"/>
              <w:jc w:val="center"/>
              <w:rPr>
                <w:sz w:val="20"/>
                <w:szCs w:val="20"/>
              </w:rPr>
            </w:pPr>
            <w:r>
              <w:rPr>
                <w:sz w:val="20"/>
                <w:szCs w:val="20"/>
              </w:rPr>
              <w:t xml:space="preserve">21.0 </w:t>
            </w:r>
            <w:r w:rsidRPr="00C40718">
              <w:rPr>
                <w:sz w:val="20"/>
                <w:szCs w:val="20"/>
              </w:rPr>
              <w:t>±</w:t>
            </w:r>
            <w:r>
              <w:rPr>
                <w:sz w:val="20"/>
                <w:szCs w:val="20"/>
              </w:rPr>
              <w:t xml:space="preserve"> 7.1</w:t>
            </w:r>
          </w:p>
        </w:tc>
        <w:tc>
          <w:tcPr>
            <w:tcW w:w="833" w:type="pct"/>
            <w:tcBorders>
              <w:top w:val="nil"/>
              <w:left w:val="nil"/>
              <w:bottom w:val="nil"/>
              <w:right w:val="nil"/>
            </w:tcBorders>
          </w:tcPr>
          <w:p w14:paraId="38D13E63" w14:textId="77777777" w:rsidR="00246B76" w:rsidRDefault="00246B76" w:rsidP="00181211">
            <w:pPr>
              <w:spacing w:line="276" w:lineRule="auto"/>
              <w:jc w:val="center"/>
              <w:rPr>
                <w:sz w:val="20"/>
                <w:szCs w:val="20"/>
              </w:rPr>
            </w:pPr>
            <w:r>
              <w:rPr>
                <w:sz w:val="20"/>
                <w:szCs w:val="20"/>
              </w:rPr>
              <w:t xml:space="preserve">5.1 </w:t>
            </w:r>
            <w:r w:rsidRPr="00C40718">
              <w:rPr>
                <w:sz w:val="20"/>
                <w:szCs w:val="20"/>
              </w:rPr>
              <w:t>±</w:t>
            </w:r>
            <w:r>
              <w:rPr>
                <w:sz w:val="20"/>
                <w:szCs w:val="20"/>
              </w:rPr>
              <w:t xml:space="preserve"> 2.1</w:t>
            </w:r>
          </w:p>
        </w:tc>
        <w:tc>
          <w:tcPr>
            <w:tcW w:w="833" w:type="pct"/>
            <w:tcBorders>
              <w:top w:val="nil"/>
              <w:left w:val="nil"/>
              <w:bottom w:val="nil"/>
              <w:right w:val="nil"/>
            </w:tcBorders>
          </w:tcPr>
          <w:p w14:paraId="4E533A13" w14:textId="77777777" w:rsidR="00246B76" w:rsidRPr="00B72BB9" w:rsidRDefault="00246B76" w:rsidP="00181211">
            <w:pPr>
              <w:spacing w:line="276" w:lineRule="auto"/>
              <w:jc w:val="center"/>
              <w:rPr>
                <w:sz w:val="20"/>
                <w:szCs w:val="20"/>
              </w:rPr>
            </w:pPr>
            <w:r>
              <w:rPr>
                <w:sz w:val="20"/>
                <w:szCs w:val="20"/>
              </w:rPr>
              <w:t xml:space="preserve">26.9 </w:t>
            </w:r>
            <w:r w:rsidRPr="00C40718">
              <w:rPr>
                <w:sz w:val="20"/>
                <w:szCs w:val="20"/>
              </w:rPr>
              <w:t>±</w:t>
            </w:r>
            <w:r>
              <w:rPr>
                <w:sz w:val="20"/>
                <w:szCs w:val="20"/>
              </w:rPr>
              <w:t xml:space="preserve"> 8.7</w:t>
            </w:r>
          </w:p>
        </w:tc>
        <w:tc>
          <w:tcPr>
            <w:tcW w:w="836" w:type="pct"/>
            <w:tcBorders>
              <w:top w:val="nil"/>
              <w:left w:val="nil"/>
              <w:bottom w:val="nil"/>
              <w:right w:val="nil"/>
            </w:tcBorders>
          </w:tcPr>
          <w:p w14:paraId="69E7CA22" w14:textId="77777777" w:rsidR="00246B76" w:rsidRPr="00B72BB9" w:rsidRDefault="00246B76" w:rsidP="00181211">
            <w:pPr>
              <w:spacing w:line="276" w:lineRule="auto"/>
              <w:jc w:val="center"/>
              <w:rPr>
                <w:sz w:val="20"/>
                <w:szCs w:val="20"/>
              </w:rPr>
            </w:pPr>
            <w:r>
              <w:rPr>
                <w:sz w:val="20"/>
                <w:szCs w:val="20"/>
              </w:rPr>
              <w:t xml:space="preserve">44.5 </w:t>
            </w:r>
            <w:r w:rsidRPr="00C40718">
              <w:rPr>
                <w:sz w:val="20"/>
                <w:szCs w:val="20"/>
              </w:rPr>
              <w:t>±</w:t>
            </w:r>
            <w:r>
              <w:rPr>
                <w:sz w:val="20"/>
                <w:szCs w:val="20"/>
              </w:rPr>
              <w:t xml:space="preserve"> 15.7</w:t>
            </w:r>
          </w:p>
        </w:tc>
      </w:tr>
      <w:tr w:rsidR="00246B76" w:rsidRPr="00B72BB9" w14:paraId="0FA91E29" w14:textId="77777777" w:rsidTr="00181211">
        <w:trPr>
          <w:trHeight w:val="406"/>
        </w:trPr>
        <w:tc>
          <w:tcPr>
            <w:tcW w:w="833" w:type="pct"/>
            <w:tcBorders>
              <w:top w:val="nil"/>
              <w:left w:val="nil"/>
              <w:bottom w:val="nil"/>
              <w:right w:val="nil"/>
            </w:tcBorders>
          </w:tcPr>
          <w:p w14:paraId="1C9E142F"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777911FB" w14:textId="77777777" w:rsidR="00246B76" w:rsidRPr="00B72BB9" w:rsidRDefault="00246B76" w:rsidP="00181211">
            <w:pPr>
              <w:spacing w:line="276" w:lineRule="auto"/>
              <w:rPr>
                <w:sz w:val="20"/>
                <w:szCs w:val="20"/>
              </w:rPr>
            </w:pPr>
            <w:r>
              <w:rPr>
                <w:sz w:val="20"/>
                <w:szCs w:val="20"/>
              </w:rPr>
              <w:t>Emerald I</w:t>
            </w:r>
          </w:p>
        </w:tc>
        <w:tc>
          <w:tcPr>
            <w:tcW w:w="833" w:type="pct"/>
            <w:tcBorders>
              <w:top w:val="nil"/>
              <w:left w:val="nil"/>
              <w:bottom w:val="nil"/>
              <w:right w:val="nil"/>
            </w:tcBorders>
          </w:tcPr>
          <w:p w14:paraId="7AB3D240" w14:textId="77777777" w:rsidR="00246B76" w:rsidRPr="00B72BB9" w:rsidRDefault="00246B76" w:rsidP="00181211">
            <w:pPr>
              <w:spacing w:line="276" w:lineRule="auto"/>
              <w:jc w:val="center"/>
              <w:rPr>
                <w:sz w:val="20"/>
                <w:szCs w:val="20"/>
              </w:rPr>
            </w:pPr>
            <w:r>
              <w:rPr>
                <w:sz w:val="20"/>
                <w:szCs w:val="20"/>
              </w:rPr>
              <w:t xml:space="preserve">21.7 </w:t>
            </w:r>
            <w:r w:rsidRPr="00C40718">
              <w:rPr>
                <w:sz w:val="20"/>
                <w:szCs w:val="20"/>
              </w:rPr>
              <w:t>±</w:t>
            </w:r>
            <w:r>
              <w:rPr>
                <w:sz w:val="20"/>
                <w:szCs w:val="20"/>
              </w:rPr>
              <w:t xml:space="preserve"> 5.4</w:t>
            </w:r>
          </w:p>
        </w:tc>
        <w:tc>
          <w:tcPr>
            <w:tcW w:w="833" w:type="pct"/>
            <w:tcBorders>
              <w:top w:val="nil"/>
              <w:left w:val="nil"/>
              <w:bottom w:val="nil"/>
              <w:right w:val="nil"/>
            </w:tcBorders>
          </w:tcPr>
          <w:p w14:paraId="5F95DC0E" w14:textId="77777777" w:rsidR="00246B76" w:rsidRDefault="00246B76" w:rsidP="00181211">
            <w:pPr>
              <w:spacing w:line="276" w:lineRule="auto"/>
              <w:jc w:val="center"/>
              <w:rPr>
                <w:sz w:val="20"/>
                <w:szCs w:val="20"/>
              </w:rPr>
            </w:pPr>
            <w:r>
              <w:rPr>
                <w:sz w:val="20"/>
                <w:szCs w:val="20"/>
              </w:rPr>
              <w:t xml:space="preserve">5.2 </w:t>
            </w:r>
            <w:r w:rsidRPr="00C40718">
              <w:rPr>
                <w:sz w:val="20"/>
                <w:szCs w:val="20"/>
              </w:rPr>
              <w:t>±</w:t>
            </w:r>
            <w:r>
              <w:rPr>
                <w:sz w:val="20"/>
                <w:szCs w:val="20"/>
              </w:rPr>
              <w:t xml:space="preserve"> 2.0</w:t>
            </w:r>
          </w:p>
        </w:tc>
        <w:tc>
          <w:tcPr>
            <w:tcW w:w="833" w:type="pct"/>
            <w:tcBorders>
              <w:top w:val="nil"/>
              <w:left w:val="nil"/>
              <w:bottom w:val="nil"/>
              <w:right w:val="nil"/>
            </w:tcBorders>
          </w:tcPr>
          <w:p w14:paraId="1327FA34" w14:textId="77777777" w:rsidR="00246B76" w:rsidRPr="00B72BB9" w:rsidRDefault="00246B76" w:rsidP="00181211">
            <w:pPr>
              <w:spacing w:line="276" w:lineRule="auto"/>
              <w:jc w:val="center"/>
              <w:rPr>
                <w:sz w:val="20"/>
                <w:szCs w:val="20"/>
              </w:rPr>
            </w:pPr>
            <w:r>
              <w:rPr>
                <w:sz w:val="20"/>
                <w:szCs w:val="20"/>
              </w:rPr>
              <w:t xml:space="preserve">25.5 </w:t>
            </w:r>
            <w:r w:rsidRPr="00C40718">
              <w:rPr>
                <w:sz w:val="20"/>
                <w:szCs w:val="20"/>
              </w:rPr>
              <w:t>±</w:t>
            </w:r>
            <w:r>
              <w:rPr>
                <w:sz w:val="20"/>
                <w:szCs w:val="20"/>
              </w:rPr>
              <w:t xml:space="preserve"> 7.4</w:t>
            </w:r>
          </w:p>
        </w:tc>
        <w:tc>
          <w:tcPr>
            <w:tcW w:w="836" w:type="pct"/>
            <w:tcBorders>
              <w:top w:val="nil"/>
              <w:left w:val="nil"/>
              <w:bottom w:val="nil"/>
              <w:right w:val="nil"/>
            </w:tcBorders>
          </w:tcPr>
          <w:p w14:paraId="7FB64CB1" w14:textId="77777777" w:rsidR="00246B76" w:rsidRPr="00B72BB9" w:rsidRDefault="00246B76" w:rsidP="00181211">
            <w:pPr>
              <w:spacing w:line="276" w:lineRule="auto"/>
              <w:jc w:val="center"/>
              <w:rPr>
                <w:sz w:val="20"/>
                <w:szCs w:val="20"/>
              </w:rPr>
            </w:pPr>
            <w:r>
              <w:rPr>
                <w:sz w:val="20"/>
                <w:szCs w:val="20"/>
              </w:rPr>
              <w:t xml:space="preserve">41.6 </w:t>
            </w:r>
            <w:r w:rsidRPr="00C40718">
              <w:rPr>
                <w:sz w:val="20"/>
                <w:szCs w:val="20"/>
              </w:rPr>
              <w:t>±</w:t>
            </w:r>
            <w:r>
              <w:rPr>
                <w:sz w:val="20"/>
                <w:szCs w:val="20"/>
              </w:rPr>
              <w:t xml:space="preserve"> 11.3</w:t>
            </w:r>
          </w:p>
        </w:tc>
      </w:tr>
      <w:tr w:rsidR="00246B76" w:rsidRPr="00B72BB9" w14:paraId="140A3763" w14:textId="77777777" w:rsidTr="00181211">
        <w:trPr>
          <w:trHeight w:val="340"/>
        </w:trPr>
        <w:tc>
          <w:tcPr>
            <w:tcW w:w="833" w:type="pct"/>
            <w:tcBorders>
              <w:top w:val="nil"/>
              <w:left w:val="nil"/>
              <w:bottom w:val="nil"/>
              <w:right w:val="nil"/>
            </w:tcBorders>
          </w:tcPr>
          <w:p w14:paraId="65F6C81C" w14:textId="77777777" w:rsidR="00246B76" w:rsidRPr="00B72BB9" w:rsidRDefault="00246B76" w:rsidP="00181211">
            <w:pPr>
              <w:spacing w:line="276" w:lineRule="auto"/>
              <w:rPr>
                <w:sz w:val="20"/>
                <w:szCs w:val="20"/>
              </w:rPr>
            </w:pPr>
            <w:r>
              <w:rPr>
                <w:sz w:val="20"/>
                <w:szCs w:val="20"/>
              </w:rPr>
              <w:t>VN2</w:t>
            </w:r>
          </w:p>
        </w:tc>
        <w:tc>
          <w:tcPr>
            <w:tcW w:w="832" w:type="pct"/>
            <w:tcBorders>
              <w:top w:val="nil"/>
              <w:left w:val="nil"/>
              <w:bottom w:val="nil"/>
              <w:right w:val="nil"/>
            </w:tcBorders>
          </w:tcPr>
          <w:p w14:paraId="4767C35F" w14:textId="77777777" w:rsidR="00246B76" w:rsidRPr="00B72BB9" w:rsidRDefault="00246B76" w:rsidP="00181211">
            <w:pPr>
              <w:spacing w:line="276" w:lineRule="auto"/>
              <w:rPr>
                <w:sz w:val="20"/>
                <w:szCs w:val="20"/>
              </w:rPr>
            </w:pPr>
            <w:r>
              <w:rPr>
                <w:sz w:val="20"/>
                <w:szCs w:val="20"/>
              </w:rPr>
              <w:t>Challenger</w:t>
            </w:r>
          </w:p>
        </w:tc>
        <w:tc>
          <w:tcPr>
            <w:tcW w:w="833" w:type="pct"/>
            <w:tcBorders>
              <w:top w:val="nil"/>
              <w:left w:val="nil"/>
              <w:bottom w:val="nil"/>
              <w:right w:val="nil"/>
            </w:tcBorders>
          </w:tcPr>
          <w:p w14:paraId="72BEEE3F" w14:textId="77777777" w:rsidR="00246B76" w:rsidRPr="00B72BB9" w:rsidRDefault="00246B76" w:rsidP="00181211">
            <w:pPr>
              <w:spacing w:line="276" w:lineRule="auto"/>
              <w:jc w:val="center"/>
              <w:rPr>
                <w:sz w:val="20"/>
                <w:szCs w:val="20"/>
              </w:rPr>
            </w:pPr>
            <w:r>
              <w:rPr>
                <w:sz w:val="20"/>
                <w:szCs w:val="20"/>
              </w:rPr>
              <w:t xml:space="preserve">15.3 </w:t>
            </w:r>
            <w:r w:rsidRPr="00C40718">
              <w:rPr>
                <w:sz w:val="20"/>
                <w:szCs w:val="20"/>
              </w:rPr>
              <w:t>±</w:t>
            </w:r>
            <w:r>
              <w:rPr>
                <w:sz w:val="20"/>
                <w:szCs w:val="20"/>
              </w:rPr>
              <w:t xml:space="preserve"> 4.2</w:t>
            </w:r>
          </w:p>
        </w:tc>
        <w:tc>
          <w:tcPr>
            <w:tcW w:w="833" w:type="pct"/>
            <w:tcBorders>
              <w:top w:val="nil"/>
              <w:left w:val="nil"/>
              <w:bottom w:val="nil"/>
              <w:right w:val="nil"/>
            </w:tcBorders>
          </w:tcPr>
          <w:p w14:paraId="21C6E5D1" w14:textId="77777777" w:rsidR="00246B76" w:rsidRDefault="00246B76" w:rsidP="00181211">
            <w:pPr>
              <w:spacing w:line="276" w:lineRule="auto"/>
              <w:jc w:val="center"/>
              <w:rPr>
                <w:sz w:val="20"/>
                <w:szCs w:val="20"/>
              </w:rPr>
            </w:pPr>
            <w:r>
              <w:rPr>
                <w:sz w:val="20"/>
                <w:szCs w:val="20"/>
              </w:rPr>
              <w:t xml:space="preserve">4.0 </w:t>
            </w:r>
            <w:r w:rsidRPr="00C40718">
              <w:rPr>
                <w:sz w:val="20"/>
                <w:szCs w:val="20"/>
              </w:rPr>
              <w:t>±</w:t>
            </w:r>
            <w:r>
              <w:rPr>
                <w:sz w:val="20"/>
                <w:szCs w:val="20"/>
              </w:rPr>
              <w:t xml:space="preserve"> 1.9</w:t>
            </w:r>
          </w:p>
        </w:tc>
        <w:tc>
          <w:tcPr>
            <w:tcW w:w="833" w:type="pct"/>
            <w:tcBorders>
              <w:top w:val="nil"/>
              <w:left w:val="nil"/>
              <w:bottom w:val="nil"/>
              <w:right w:val="nil"/>
            </w:tcBorders>
          </w:tcPr>
          <w:p w14:paraId="666B5160" w14:textId="77777777" w:rsidR="00246B76" w:rsidRPr="00B72BB9" w:rsidRDefault="00246B76" w:rsidP="00181211">
            <w:pPr>
              <w:spacing w:line="276" w:lineRule="auto"/>
              <w:jc w:val="center"/>
              <w:rPr>
                <w:sz w:val="20"/>
                <w:szCs w:val="20"/>
              </w:rPr>
            </w:pPr>
            <w:r>
              <w:rPr>
                <w:sz w:val="20"/>
                <w:szCs w:val="20"/>
              </w:rPr>
              <w:t xml:space="preserve">34.8 </w:t>
            </w:r>
            <w:r w:rsidRPr="00C40718">
              <w:rPr>
                <w:sz w:val="20"/>
                <w:szCs w:val="20"/>
              </w:rPr>
              <w:t>±</w:t>
            </w:r>
            <w:r>
              <w:rPr>
                <w:sz w:val="20"/>
                <w:szCs w:val="20"/>
              </w:rPr>
              <w:t xml:space="preserve"> 10.7</w:t>
            </w:r>
          </w:p>
        </w:tc>
        <w:tc>
          <w:tcPr>
            <w:tcW w:w="836" w:type="pct"/>
            <w:tcBorders>
              <w:top w:val="nil"/>
              <w:left w:val="nil"/>
              <w:bottom w:val="nil"/>
              <w:right w:val="nil"/>
            </w:tcBorders>
          </w:tcPr>
          <w:p w14:paraId="3E1DB088" w14:textId="77777777" w:rsidR="00246B76" w:rsidRPr="00B72BB9" w:rsidRDefault="00246B76" w:rsidP="00181211">
            <w:pPr>
              <w:spacing w:line="276" w:lineRule="auto"/>
              <w:jc w:val="center"/>
              <w:rPr>
                <w:sz w:val="20"/>
                <w:szCs w:val="20"/>
              </w:rPr>
            </w:pPr>
            <w:r>
              <w:rPr>
                <w:sz w:val="20"/>
                <w:szCs w:val="20"/>
              </w:rPr>
              <w:t xml:space="preserve">54.9 </w:t>
            </w:r>
            <w:r w:rsidRPr="00C40718">
              <w:rPr>
                <w:sz w:val="20"/>
                <w:szCs w:val="20"/>
              </w:rPr>
              <w:t>±</w:t>
            </w:r>
            <w:r>
              <w:rPr>
                <w:sz w:val="20"/>
                <w:szCs w:val="20"/>
              </w:rPr>
              <w:t xml:space="preserve"> 12.9</w:t>
            </w:r>
          </w:p>
        </w:tc>
      </w:tr>
      <w:tr w:rsidR="00246B76" w:rsidRPr="00B72BB9" w14:paraId="5889981E" w14:textId="77777777" w:rsidTr="00181211">
        <w:trPr>
          <w:trHeight w:val="340"/>
        </w:trPr>
        <w:tc>
          <w:tcPr>
            <w:tcW w:w="833" w:type="pct"/>
            <w:tcBorders>
              <w:top w:val="nil"/>
              <w:left w:val="nil"/>
              <w:bottom w:val="nil"/>
              <w:right w:val="nil"/>
            </w:tcBorders>
          </w:tcPr>
          <w:p w14:paraId="66FB8C9B"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5B4E06A0" w14:textId="77777777" w:rsidR="00246B76" w:rsidRPr="00B72BB9" w:rsidRDefault="00246B76" w:rsidP="00181211">
            <w:pPr>
              <w:spacing w:line="276" w:lineRule="auto"/>
              <w:rPr>
                <w:sz w:val="20"/>
                <w:szCs w:val="20"/>
              </w:rPr>
            </w:pPr>
            <w:r>
              <w:rPr>
                <w:sz w:val="20"/>
                <w:szCs w:val="20"/>
              </w:rPr>
              <w:t>Grandmaster</w:t>
            </w:r>
          </w:p>
        </w:tc>
        <w:tc>
          <w:tcPr>
            <w:tcW w:w="833" w:type="pct"/>
            <w:tcBorders>
              <w:top w:val="nil"/>
              <w:left w:val="nil"/>
              <w:bottom w:val="nil"/>
              <w:right w:val="nil"/>
            </w:tcBorders>
          </w:tcPr>
          <w:p w14:paraId="5B610CAD" w14:textId="77777777" w:rsidR="00246B76" w:rsidRPr="00B72BB9" w:rsidRDefault="00246B76" w:rsidP="00181211">
            <w:pPr>
              <w:spacing w:line="276" w:lineRule="auto"/>
              <w:jc w:val="center"/>
              <w:rPr>
                <w:sz w:val="20"/>
                <w:szCs w:val="20"/>
              </w:rPr>
            </w:pPr>
            <w:r>
              <w:rPr>
                <w:sz w:val="20"/>
                <w:szCs w:val="20"/>
              </w:rPr>
              <w:t xml:space="preserve">17.2 </w:t>
            </w:r>
            <w:r w:rsidRPr="00C40718">
              <w:rPr>
                <w:sz w:val="20"/>
                <w:szCs w:val="20"/>
              </w:rPr>
              <w:t>±</w:t>
            </w:r>
            <w:r>
              <w:rPr>
                <w:sz w:val="20"/>
                <w:szCs w:val="20"/>
              </w:rPr>
              <w:t xml:space="preserve"> 7.4</w:t>
            </w:r>
          </w:p>
        </w:tc>
        <w:tc>
          <w:tcPr>
            <w:tcW w:w="833" w:type="pct"/>
            <w:tcBorders>
              <w:top w:val="nil"/>
              <w:left w:val="nil"/>
              <w:bottom w:val="nil"/>
              <w:right w:val="nil"/>
            </w:tcBorders>
          </w:tcPr>
          <w:p w14:paraId="35303FE9" w14:textId="77777777" w:rsidR="00246B76" w:rsidRDefault="00246B76" w:rsidP="00181211">
            <w:pPr>
              <w:spacing w:line="276" w:lineRule="auto"/>
              <w:jc w:val="center"/>
              <w:rPr>
                <w:sz w:val="20"/>
                <w:szCs w:val="20"/>
              </w:rPr>
            </w:pPr>
            <w:r>
              <w:rPr>
                <w:sz w:val="20"/>
                <w:szCs w:val="20"/>
              </w:rPr>
              <w:t xml:space="preserve">4.4 </w:t>
            </w:r>
            <w:r w:rsidRPr="00C40718">
              <w:rPr>
                <w:sz w:val="20"/>
                <w:szCs w:val="20"/>
              </w:rPr>
              <w:t>±</w:t>
            </w:r>
            <w:r>
              <w:rPr>
                <w:sz w:val="20"/>
                <w:szCs w:val="20"/>
              </w:rPr>
              <w:t xml:space="preserve"> 2.2</w:t>
            </w:r>
          </w:p>
        </w:tc>
        <w:tc>
          <w:tcPr>
            <w:tcW w:w="833" w:type="pct"/>
            <w:tcBorders>
              <w:top w:val="nil"/>
              <w:left w:val="nil"/>
              <w:bottom w:val="nil"/>
              <w:right w:val="nil"/>
            </w:tcBorders>
          </w:tcPr>
          <w:p w14:paraId="1710992D" w14:textId="77777777" w:rsidR="00246B76" w:rsidRPr="00B72BB9" w:rsidRDefault="00246B76" w:rsidP="00181211">
            <w:pPr>
              <w:spacing w:line="276" w:lineRule="auto"/>
              <w:jc w:val="center"/>
              <w:rPr>
                <w:sz w:val="20"/>
                <w:szCs w:val="20"/>
              </w:rPr>
            </w:pPr>
            <w:r>
              <w:rPr>
                <w:sz w:val="20"/>
                <w:szCs w:val="20"/>
              </w:rPr>
              <w:t xml:space="preserve">31.6 </w:t>
            </w:r>
            <w:r w:rsidRPr="00C40718">
              <w:rPr>
                <w:sz w:val="20"/>
                <w:szCs w:val="20"/>
              </w:rPr>
              <w:t>±</w:t>
            </w:r>
            <w:r>
              <w:rPr>
                <w:sz w:val="20"/>
                <w:szCs w:val="20"/>
              </w:rPr>
              <w:t xml:space="preserve"> 11.5</w:t>
            </w:r>
          </w:p>
        </w:tc>
        <w:tc>
          <w:tcPr>
            <w:tcW w:w="836" w:type="pct"/>
            <w:tcBorders>
              <w:top w:val="nil"/>
              <w:left w:val="nil"/>
              <w:bottom w:val="nil"/>
              <w:right w:val="nil"/>
            </w:tcBorders>
          </w:tcPr>
          <w:p w14:paraId="72D10A6B" w14:textId="77777777" w:rsidR="00246B76" w:rsidRPr="00B72BB9" w:rsidRDefault="00246B76" w:rsidP="00181211">
            <w:pPr>
              <w:spacing w:line="276" w:lineRule="auto"/>
              <w:jc w:val="center"/>
              <w:rPr>
                <w:sz w:val="20"/>
                <w:szCs w:val="20"/>
              </w:rPr>
            </w:pPr>
            <w:r>
              <w:rPr>
                <w:sz w:val="20"/>
                <w:szCs w:val="20"/>
              </w:rPr>
              <w:t xml:space="preserve">52.3 </w:t>
            </w:r>
            <w:r w:rsidRPr="00C40718">
              <w:rPr>
                <w:sz w:val="20"/>
                <w:szCs w:val="20"/>
              </w:rPr>
              <w:t>±</w:t>
            </w:r>
            <w:r>
              <w:rPr>
                <w:sz w:val="20"/>
                <w:szCs w:val="20"/>
              </w:rPr>
              <w:t xml:space="preserve"> 17.6</w:t>
            </w:r>
          </w:p>
        </w:tc>
      </w:tr>
      <w:tr w:rsidR="00246B76" w:rsidRPr="00B72BB9" w14:paraId="75348D99" w14:textId="77777777" w:rsidTr="00181211">
        <w:trPr>
          <w:trHeight w:val="340"/>
        </w:trPr>
        <w:tc>
          <w:tcPr>
            <w:tcW w:w="833" w:type="pct"/>
            <w:tcBorders>
              <w:top w:val="nil"/>
              <w:left w:val="nil"/>
              <w:bottom w:val="nil"/>
              <w:right w:val="nil"/>
            </w:tcBorders>
          </w:tcPr>
          <w:p w14:paraId="319D8A72" w14:textId="77777777" w:rsidR="00246B76" w:rsidRPr="00B72BB9" w:rsidRDefault="00246B76" w:rsidP="00181211">
            <w:pPr>
              <w:spacing w:line="276" w:lineRule="auto"/>
              <w:rPr>
                <w:sz w:val="20"/>
                <w:szCs w:val="20"/>
              </w:rPr>
            </w:pPr>
          </w:p>
        </w:tc>
        <w:tc>
          <w:tcPr>
            <w:tcW w:w="832" w:type="pct"/>
            <w:tcBorders>
              <w:top w:val="nil"/>
              <w:left w:val="nil"/>
              <w:bottom w:val="nil"/>
              <w:right w:val="nil"/>
            </w:tcBorders>
          </w:tcPr>
          <w:p w14:paraId="03D4FF33" w14:textId="77777777" w:rsidR="00246B76" w:rsidRPr="00B72BB9" w:rsidRDefault="00246B76" w:rsidP="00181211">
            <w:pPr>
              <w:spacing w:line="276" w:lineRule="auto"/>
              <w:rPr>
                <w:sz w:val="20"/>
                <w:szCs w:val="20"/>
              </w:rPr>
            </w:pPr>
            <w:r>
              <w:rPr>
                <w:sz w:val="20"/>
                <w:szCs w:val="20"/>
              </w:rPr>
              <w:t>Master</w:t>
            </w:r>
          </w:p>
        </w:tc>
        <w:tc>
          <w:tcPr>
            <w:tcW w:w="833" w:type="pct"/>
            <w:tcBorders>
              <w:top w:val="nil"/>
              <w:left w:val="nil"/>
              <w:bottom w:val="nil"/>
              <w:right w:val="nil"/>
            </w:tcBorders>
          </w:tcPr>
          <w:p w14:paraId="1D4EFB75" w14:textId="77777777" w:rsidR="00246B76" w:rsidRPr="00B72BB9" w:rsidRDefault="00246B76" w:rsidP="00181211">
            <w:pPr>
              <w:spacing w:line="276" w:lineRule="auto"/>
              <w:jc w:val="center"/>
              <w:rPr>
                <w:sz w:val="20"/>
                <w:szCs w:val="20"/>
              </w:rPr>
            </w:pPr>
            <w:r>
              <w:rPr>
                <w:sz w:val="20"/>
                <w:szCs w:val="20"/>
              </w:rPr>
              <w:t xml:space="preserve">21.9 </w:t>
            </w:r>
            <w:r w:rsidRPr="00C40718">
              <w:rPr>
                <w:sz w:val="20"/>
                <w:szCs w:val="20"/>
              </w:rPr>
              <w:t>±</w:t>
            </w:r>
            <w:r>
              <w:rPr>
                <w:sz w:val="20"/>
                <w:szCs w:val="20"/>
              </w:rPr>
              <w:t xml:space="preserve"> 7.2</w:t>
            </w:r>
          </w:p>
        </w:tc>
        <w:tc>
          <w:tcPr>
            <w:tcW w:w="833" w:type="pct"/>
            <w:tcBorders>
              <w:top w:val="nil"/>
              <w:left w:val="nil"/>
              <w:bottom w:val="nil"/>
              <w:right w:val="nil"/>
            </w:tcBorders>
          </w:tcPr>
          <w:p w14:paraId="7A116642" w14:textId="77777777" w:rsidR="00246B76" w:rsidRDefault="00246B76" w:rsidP="00181211">
            <w:pPr>
              <w:spacing w:line="276" w:lineRule="auto"/>
              <w:jc w:val="center"/>
              <w:rPr>
                <w:sz w:val="20"/>
                <w:szCs w:val="20"/>
              </w:rPr>
            </w:pPr>
            <w:r>
              <w:rPr>
                <w:sz w:val="20"/>
                <w:szCs w:val="20"/>
              </w:rPr>
              <w:t xml:space="preserve">5.8 </w:t>
            </w:r>
            <w:r w:rsidRPr="00C40718">
              <w:rPr>
                <w:sz w:val="20"/>
                <w:szCs w:val="20"/>
              </w:rPr>
              <w:t>±</w:t>
            </w:r>
            <w:r>
              <w:rPr>
                <w:sz w:val="20"/>
                <w:szCs w:val="20"/>
              </w:rPr>
              <w:t xml:space="preserve"> 1.5</w:t>
            </w:r>
          </w:p>
        </w:tc>
        <w:tc>
          <w:tcPr>
            <w:tcW w:w="833" w:type="pct"/>
            <w:tcBorders>
              <w:top w:val="nil"/>
              <w:left w:val="nil"/>
              <w:bottom w:val="nil"/>
              <w:right w:val="nil"/>
            </w:tcBorders>
          </w:tcPr>
          <w:p w14:paraId="088CD902" w14:textId="77777777" w:rsidR="00246B76" w:rsidRPr="00B72BB9" w:rsidRDefault="00246B76" w:rsidP="00181211">
            <w:pPr>
              <w:spacing w:line="276" w:lineRule="auto"/>
              <w:jc w:val="center"/>
              <w:rPr>
                <w:sz w:val="20"/>
                <w:szCs w:val="20"/>
              </w:rPr>
            </w:pPr>
            <w:r>
              <w:rPr>
                <w:sz w:val="20"/>
                <w:szCs w:val="20"/>
              </w:rPr>
              <w:t xml:space="preserve">27.5 </w:t>
            </w:r>
            <w:r w:rsidRPr="00C40718">
              <w:rPr>
                <w:sz w:val="20"/>
                <w:szCs w:val="20"/>
              </w:rPr>
              <w:t>±</w:t>
            </w:r>
            <w:r>
              <w:rPr>
                <w:sz w:val="20"/>
                <w:szCs w:val="20"/>
              </w:rPr>
              <w:t xml:space="preserve"> 10.2</w:t>
            </w:r>
          </w:p>
        </w:tc>
        <w:tc>
          <w:tcPr>
            <w:tcW w:w="836" w:type="pct"/>
            <w:tcBorders>
              <w:top w:val="nil"/>
              <w:left w:val="nil"/>
              <w:bottom w:val="nil"/>
              <w:right w:val="nil"/>
            </w:tcBorders>
          </w:tcPr>
          <w:p w14:paraId="1E6DCBEA" w14:textId="77777777" w:rsidR="00246B76" w:rsidRPr="00B72BB9" w:rsidRDefault="00246B76" w:rsidP="00181211">
            <w:pPr>
              <w:spacing w:line="276" w:lineRule="auto"/>
              <w:jc w:val="center"/>
              <w:rPr>
                <w:sz w:val="20"/>
                <w:szCs w:val="20"/>
              </w:rPr>
            </w:pPr>
            <w:r>
              <w:rPr>
                <w:sz w:val="20"/>
                <w:szCs w:val="20"/>
              </w:rPr>
              <w:t xml:space="preserve">43.8 </w:t>
            </w:r>
            <w:r w:rsidRPr="00C40718">
              <w:rPr>
                <w:sz w:val="20"/>
                <w:szCs w:val="20"/>
              </w:rPr>
              <w:t>±</w:t>
            </w:r>
            <w:r>
              <w:rPr>
                <w:sz w:val="20"/>
                <w:szCs w:val="20"/>
              </w:rPr>
              <w:t xml:space="preserve"> 14.4</w:t>
            </w:r>
          </w:p>
        </w:tc>
      </w:tr>
      <w:tr w:rsidR="00246B76" w:rsidRPr="00B72BB9" w14:paraId="2A1D8579" w14:textId="77777777" w:rsidTr="00181211">
        <w:trPr>
          <w:trHeight w:val="340"/>
        </w:trPr>
        <w:tc>
          <w:tcPr>
            <w:tcW w:w="833" w:type="pct"/>
            <w:tcBorders>
              <w:top w:val="nil"/>
              <w:left w:val="nil"/>
              <w:bottom w:val="single" w:sz="12" w:space="0" w:color="auto"/>
              <w:right w:val="nil"/>
            </w:tcBorders>
          </w:tcPr>
          <w:p w14:paraId="7C290C42" w14:textId="77777777" w:rsidR="00246B76" w:rsidRPr="00B72BB9" w:rsidRDefault="00246B76" w:rsidP="00181211">
            <w:pPr>
              <w:spacing w:line="276" w:lineRule="auto"/>
              <w:rPr>
                <w:sz w:val="20"/>
                <w:szCs w:val="20"/>
              </w:rPr>
            </w:pPr>
          </w:p>
        </w:tc>
        <w:tc>
          <w:tcPr>
            <w:tcW w:w="832" w:type="pct"/>
            <w:tcBorders>
              <w:top w:val="nil"/>
              <w:left w:val="nil"/>
              <w:bottom w:val="single" w:sz="12" w:space="0" w:color="auto"/>
              <w:right w:val="nil"/>
            </w:tcBorders>
          </w:tcPr>
          <w:p w14:paraId="4DC82C8C" w14:textId="77777777" w:rsidR="00246B76" w:rsidRPr="00B72BB9" w:rsidRDefault="00246B76" w:rsidP="00181211">
            <w:pPr>
              <w:spacing w:line="276" w:lineRule="auto"/>
              <w:rPr>
                <w:sz w:val="20"/>
                <w:szCs w:val="20"/>
              </w:rPr>
            </w:pPr>
            <w:r>
              <w:rPr>
                <w:sz w:val="20"/>
                <w:szCs w:val="20"/>
              </w:rPr>
              <w:t>Emerald I</w:t>
            </w:r>
          </w:p>
        </w:tc>
        <w:tc>
          <w:tcPr>
            <w:tcW w:w="833" w:type="pct"/>
            <w:tcBorders>
              <w:top w:val="nil"/>
              <w:left w:val="nil"/>
              <w:bottom w:val="single" w:sz="12" w:space="0" w:color="auto"/>
              <w:right w:val="nil"/>
            </w:tcBorders>
          </w:tcPr>
          <w:p w14:paraId="1361D858" w14:textId="77777777" w:rsidR="00246B76" w:rsidRPr="00B72BB9" w:rsidRDefault="00246B76" w:rsidP="00181211">
            <w:pPr>
              <w:spacing w:line="276" w:lineRule="auto"/>
              <w:jc w:val="center"/>
              <w:rPr>
                <w:sz w:val="20"/>
                <w:szCs w:val="20"/>
              </w:rPr>
            </w:pPr>
            <w:r>
              <w:rPr>
                <w:sz w:val="20"/>
                <w:szCs w:val="20"/>
              </w:rPr>
              <w:t xml:space="preserve">22.8 </w:t>
            </w:r>
            <w:r w:rsidRPr="00C40718">
              <w:rPr>
                <w:sz w:val="20"/>
                <w:szCs w:val="20"/>
              </w:rPr>
              <w:t>±</w:t>
            </w:r>
            <w:r>
              <w:rPr>
                <w:sz w:val="20"/>
                <w:szCs w:val="20"/>
              </w:rPr>
              <w:t xml:space="preserve"> 6.6</w:t>
            </w:r>
          </w:p>
        </w:tc>
        <w:tc>
          <w:tcPr>
            <w:tcW w:w="833" w:type="pct"/>
            <w:tcBorders>
              <w:top w:val="nil"/>
              <w:left w:val="nil"/>
              <w:bottom w:val="single" w:sz="12" w:space="0" w:color="auto"/>
              <w:right w:val="nil"/>
            </w:tcBorders>
          </w:tcPr>
          <w:p w14:paraId="2BB56782" w14:textId="77777777" w:rsidR="00246B76" w:rsidRDefault="00246B76" w:rsidP="00181211">
            <w:pPr>
              <w:spacing w:line="276" w:lineRule="auto"/>
              <w:jc w:val="center"/>
              <w:rPr>
                <w:sz w:val="20"/>
                <w:szCs w:val="20"/>
              </w:rPr>
            </w:pPr>
            <w:r>
              <w:rPr>
                <w:sz w:val="20"/>
                <w:szCs w:val="20"/>
              </w:rPr>
              <w:t xml:space="preserve">4.7 </w:t>
            </w:r>
            <w:r w:rsidRPr="00C40718">
              <w:rPr>
                <w:sz w:val="20"/>
                <w:szCs w:val="20"/>
              </w:rPr>
              <w:t>±</w:t>
            </w:r>
            <w:r>
              <w:rPr>
                <w:sz w:val="20"/>
                <w:szCs w:val="20"/>
              </w:rPr>
              <w:t xml:space="preserve"> 2.0</w:t>
            </w:r>
          </w:p>
        </w:tc>
        <w:tc>
          <w:tcPr>
            <w:tcW w:w="833" w:type="pct"/>
            <w:tcBorders>
              <w:top w:val="nil"/>
              <w:left w:val="nil"/>
              <w:bottom w:val="single" w:sz="12" w:space="0" w:color="auto"/>
              <w:right w:val="nil"/>
            </w:tcBorders>
          </w:tcPr>
          <w:p w14:paraId="6950C143" w14:textId="77777777" w:rsidR="00246B76" w:rsidRPr="00B72BB9" w:rsidRDefault="00246B76" w:rsidP="00181211">
            <w:pPr>
              <w:spacing w:line="276" w:lineRule="auto"/>
              <w:jc w:val="center"/>
              <w:rPr>
                <w:sz w:val="20"/>
                <w:szCs w:val="20"/>
              </w:rPr>
            </w:pPr>
            <w:r>
              <w:rPr>
                <w:sz w:val="20"/>
                <w:szCs w:val="20"/>
              </w:rPr>
              <w:t xml:space="preserve">23.8 </w:t>
            </w:r>
            <w:r w:rsidRPr="00C40718">
              <w:rPr>
                <w:sz w:val="20"/>
                <w:szCs w:val="20"/>
              </w:rPr>
              <w:t>±</w:t>
            </w:r>
            <w:r>
              <w:rPr>
                <w:sz w:val="20"/>
                <w:szCs w:val="20"/>
              </w:rPr>
              <w:t xml:space="preserve"> 7.9</w:t>
            </w:r>
          </w:p>
        </w:tc>
        <w:tc>
          <w:tcPr>
            <w:tcW w:w="836" w:type="pct"/>
            <w:tcBorders>
              <w:top w:val="nil"/>
              <w:left w:val="nil"/>
              <w:bottom w:val="single" w:sz="12" w:space="0" w:color="auto"/>
              <w:right w:val="nil"/>
            </w:tcBorders>
          </w:tcPr>
          <w:p w14:paraId="5A131BC7" w14:textId="77777777" w:rsidR="00246B76" w:rsidRPr="00B72BB9" w:rsidRDefault="00246B76" w:rsidP="00181211">
            <w:pPr>
              <w:spacing w:line="276" w:lineRule="auto"/>
              <w:jc w:val="center"/>
              <w:rPr>
                <w:sz w:val="20"/>
                <w:szCs w:val="20"/>
              </w:rPr>
            </w:pPr>
            <w:r>
              <w:rPr>
                <w:sz w:val="20"/>
                <w:szCs w:val="20"/>
              </w:rPr>
              <w:t xml:space="preserve">41.4 </w:t>
            </w:r>
            <w:r w:rsidRPr="00C40718">
              <w:rPr>
                <w:sz w:val="20"/>
                <w:szCs w:val="20"/>
              </w:rPr>
              <w:t>±</w:t>
            </w:r>
            <w:r>
              <w:rPr>
                <w:sz w:val="20"/>
                <w:szCs w:val="20"/>
              </w:rPr>
              <w:t xml:space="preserve"> 14.3</w:t>
            </w:r>
          </w:p>
        </w:tc>
      </w:tr>
      <w:tr w:rsidR="00246B76" w:rsidRPr="00B72BB9" w14:paraId="2535697C" w14:textId="77777777" w:rsidTr="00181211">
        <w:trPr>
          <w:trHeight w:val="340"/>
        </w:trPr>
        <w:tc>
          <w:tcPr>
            <w:tcW w:w="5000" w:type="pct"/>
            <w:gridSpan w:val="6"/>
            <w:tcBorders>
              <w:top w:val="single" w:sz="12" w:space="0" w:color="auto"/>
              <w:left w:val="nil"/>
              <w:bottom w:val="single" w:sz="12" w:space="0" w:color="auto"/>
              <w:right w:val="nil"/>
            </w:tcBorders>
          </w:tcPr>
          <w:p w14:paraId="4996472D" w14:textId="77777777" w:rsidR="00246B76" w:rsidRPr="00B72BB9" w:rsidRDefault="00246B76" w:rsidP="00181211">
            <w:pPr>
              <w:spacing w:line="276" w:lineRule="auto"/>
              <w:rPr>
                <w:sz w:val="20"/>
                <w:szCs w:val="20"/>
              </w:rPr>
            </w:pPr>
            <w:r>
              <w:rPr>
                <w:rFonts w:cs="Arial"/>
                <w:b/>
                <w:bCs/>
                <w:color w:val="000000" w:themeColor="text1"/>
                <w:sz w:val="20"/>
                <w:szCs w:val="20"/>
              </w:rPr>
              <w:t xml:space="preserve">Note: </w:t>
            </w:r>
            <w:r w:rsidRPr="00025CF4">
              <w:rPr>
                <w:rFonts w:cs="Arial"/>
                <w:color w:val="000000" w:themeColor="text1"/>
                <w:sz w:val="20"/>
                <w:szCs w:val="20"/>
              </w:rPr>
              <w:t>Brazil, NA1 = North America, JP1 = Japan, KR = Republic of Korea, EUW1 = Europe West, RU = Russia, SG2 = Singapore, Malaysia, and Indonesia, VN2 = Vietnam</w:t>
            </w:r>
          </w:p>
        </w:tc>
      </w:tr>
    </w:tbl>
    <w:p w14:paraId="129E6CD3" w14:textId="171F0D80" w:rsidR="009E0290" w:rsidRPr="00DA1788" w:rsidRDefault="009E0290" w:rsidP="00B72BB9">
      <w:pPr>
        <w:pStyle w:val="Heading2"/>
      </w:pPr>
      <w:r w:rsidRPr="00DA1788">
        <w:lastRenderedPageBreak/>
        <w:t xml:space="preserve">Statistical Analysis </w:t>
      </w:r>
    </w:p>
    <w:p w14:paraId="168B27A3" w14:textId="501FE5BE" w:rsidR="00B72BB9" w:rsidRPr="00DA1788" w:rsidRDefault="00B72BB9" w:rsidP="00831DEC">
      <w:pPr>
        <w:pStyle w:val="Heading3"/>
        <w:rPr>
          <w:b/>
          <w:bCs/>
          <w:color w:val="FF0000"/>
        </w:rPr>
      </w:pPr>
      <w:r w:rsidRPr="00DA1788">
        <w:rPr>
          <w:b/>
          <w:bCs/>
        </w:rPr>
        <w:t>Practice hours per day</w:t>
      </w:r>
      <w:r w:rsidR="005269B9" w:rsidRPr="00DA1788">
        <w:rPr>
          <w:b/>
          <w:bCs/>
        </w:rPr>
        <w:t xml:space="preserve"> between servers and tiers</w:t>
      </w:r>
    </w:p>
    <w:p w14:paraId="7370EDCA" w14:textId="2AC832A4" w:rsidR="00B72BB9" w:rsidRDefault="00151850" w:rsidP="007E0493">
      <w:pPr>
        <w:ind w:firstLine="720"/>
      </w:pPr>
      <w:r>
        <w:t>The interaction between server and tier explained little variance for these data (</w:t>
      </w:r>
      <w:r w:rsidRPr="00151850">
        <w:rPr>
          <w:i/>
          <w:iCs/>
        </w:rPr>
        <w:t>F</w:t>
      </w:r>
      <w:r>
        <w:t xml:space="preserve"> (21,881) = 1.408, </w:t>
      </w:r>
      <w:r w:rsidRPr="00151850">
        <w:rPr>
          <w:i/>
          <w:iCs/>
        </w:rPr>
        <w:t>p</w:t>
      </w:r>
      <w:r>
        <w:t xml:space="preserve"> = 0.105). However, there </w:t>
      </w:r>
      <w:r w:rsidR="004A4982">
        <w:t xml:space="preserve">are </w:t>
      </w:r>
      <w:r>
        <w:t>differences between servers (</w:t>
      </w:r>
      <w:r>
        <w:rPr>
          <w:i/>
          <w:iCs/>
        </w:rPr>
        <w:t>F</w:t>
      </w:r>
      <w:r>
        <w:t xml:space="preserve"> (7,881) = 5.942, </w:t>
      </w:r>
      <w:r>
        <w:rPr>
          <w:i/>
          <w:iCs/>
        </w:rPr>
        <w:t>p</w:t>
      </w:r>
      <w:r>
        <w:t xml:space="preserve"> &lt; 0.001) and tiers (</w:t>
      </w:r>
      <w:r>
        <w:rPr>
          <w:i/>
          <w:iCs/>
        </w:rPr>
        <w:t>F</w:t>
      </w:r>
      <w:r>
        <w:t xml:space="preserve"> (3,881) = 29.289, </w:t>
      </w:r>
      <w:r>
        <w:rPr>
          <w:i/>
          <w:iCs/>
        </w:rPr>
        <w:t>p</w:t>
      </w:r>
      <w:r>
        <w:t xml:space="preserve"> &lt; 0.001) in the total ranked practice hours per day. Specifically, all servers, </w:t>
      </w:r>
      <w:r w:rsidR="004A4982">
        <w:t>except</w:t>
      </w:r>
      <w:r>
        <w:t xml:space="preserve"> Japan, practised more than Russia (</w:t>
      </w:r>
      <w:r>
        <w:rPr>
          <w:i/>
          <w:iCs/>
        </w:rPr>
        <w:t>p</w:t>
      </w:r>
      <w:r>
        <w:t xml:space="preserve"> &lt; 0.001 – </w:t>
      </w:r>
      <w:r>
        <w:rPr>
          <w:i/>
          <w:iCs/>
        </w:rPr>
        <w:t xml:space="preserve">p </w:t>
      </w:r>
      <w:r>
        <w:t>= 0.035). Also, players in the Korean server practice more than those in the Japanese server (</w:t>
      </w:r>
      <w:r>
        <w:rPr>
          <w:i/>
          <w:iCs/>
        </w:rPr>
        <w:t>p</w:t>
      </w:r>
      <w:r>
        <w:t xml:space="preserve"> = 0.035)</w:t>
      </w:r>
      <w:r w:rsidR="007E0493">
        <w:t xml:space="preserve">. </w:t>
      </w:r>
      <w:r w:rsidR="00B72BB9">
        <w:t>When considering the tier of players, Challenger</w:t>
      </w:r>
      <w:r w:rsidR="00773F5F">
        <w:t xml:space="preserve"> players tend</w:t>
      </w:r>
      <w:r>
        <w:t>ed</w:t>
      </w:r>
      <w:r w:rsidR="00773F5F">
        <w:t xml:space="preserve"> to practice more hours of solo/duo queue</w:t>
      </w:r>
      <w:r w:rsidR="00012351">
        <w:t xml:space="preserve"> than</w:t>
      </w:r>
      <w:r w:rsidR="00773F5F">
        <w:t xml:space="preserve"> Master (</w:t>
      </w:r>
      <w:r w:rsidR="00773F5F" w:rsidRPr="00151850">
        <w:rPr>
          <w:i/>
          <w:iCs/>
        </w:rPr>
        <w:t>p</w:t>
      </w:r>
      <w:r>
        <w:t xml:space="preserve"> </w:t>
      </w:r>
      <w:r w:rsidR="00773F5F">
        <w:t>&lt;</w:t>
      </w:r>
      <w:r>
        <w:t xml:space="preserve"> </w:t>
      </w:r>
      <w:r w:rsidR="00773F5F">
        <w:t xml:space="preserve">0.001) </w:t>
      </w:r>
      <w:r>
        <w:t>and</w:t>
      </w:r>
      <w:r w:rsidR="00773F5F">
        <w:t xml:space="preserve"> Emerald</w:t>
      </w:r>
      <w:r>
        <w:t xml:space="preserve"> I</w:t>
      </w:r>
      <w:r w:rsidR="00773F5F">
        <w:t xml:space="preserve"> (</w:t>
      </w:r>
      <w:r w:rsidRPr="00151850">
        <w:rPr>
          <w:i/>
          <w:iCs/>
        </w:rPr>
        <w:t>p</w:t>
      </w:r>
      <w:r>
        <w:t xml:space="preserve"> &lt; </w:t>
      </w:r>
      <w:r w:rsidR="00773F5F" w:rsidRPr="00151850">
        <w:t>0</w:t>
      </w:r>
      <w:r w:rsidR="00773F5F">
        <w:t>.001)</w:t>
      </w:r>
      <w:r>
        <w:t xml:space="preserve"> players.</w:t>
      </w:r>
      <w:r w:rsidR="00B72BB9">
        <w:t xml:space="preserve"> Grandmaster players </w:t>
      </w:r>
      <w:r>
        <w:t>also had</w:t>
      </w:r>
      <w:r w:rsidR="00B72BB9">
        <w:t xml:space="preserve"> more hours per day of practice than the Master</w:t>
      </w:r>
      <w:r w:rsidR="00773F5F">
        <w:t xml:space="preserve"> (</w:t>
      </w:r>
      <w:r w:rsidR="00773F5F" w:rsidRPr="00151850">
        <w:rPr>
          <w:i/>
          <w:iCs/>
        </w:rPr>
        <w:t>p</w:t>
      </w:r>
      <w:r>
        <w:t xml:space="preserve"> </w:t>
      </w:r>
      <w:r w:rsidR="00773F5F">
        <w:t>&lt;</w:t>
      </w:r>
      <w:r>
        <w:t xml:space="preserve"> </w:t>
      </w:r>
      <w:r w:rsidR="00773F5F">
        <w:t>0.001)</w:t>
      </w:r>
      <w:r w:rsidR="00B72BB9">
        <w:t xml:space="preserve"> and Emerald</w:t>
      </w:r>
      <w:r w:rsidR="00512A73">
        <w:t xml:space="preserve"> I</w:t>
      </w:r>
      <w:r w:rsidR="00B72BB9">
        <w:t xml:space="preserve"> </w:t>
      </w:r>
      <w:r w:rsidR="00773F5F">
        <w:t>(</w:t>
      </w:r>
      <w:r w:rsidR="00773F5F" w:rsidRPr="00151850">
        <w:rPr>
          <w:i/>
          <w:iCs/>
        </w:rPr>
        <w:t>p</w:t>
      </w:r>
      <w:r>
        <w:t xml:space="preserve"> </w:t>
      </w:r>
      <w:r w:rsidR="00773F5F">
        <w:t>&lt;</w:t>
      </w:r>
      <w:r>
        <w:t xml:space="preserve"> </w:t>
      </w:r>
      <w:r w:rsidR="00773F5F">
        <w:t xml:space="preserve">0.001) </w:t>
      </w:r>
      <w:r w:rsidR="00B72BB9">
        <w:t>players.</w:t>
      </w:r>
      <w:r w:rsidR="00773F5F">
        <w:t xml:space="preserve"> </w:t>
      </w:r>
      <w:r w:rsidR="00B72BB9">
        <w:t xml:space="preserve"> </w:t>
      </w:r>
    </w:p>
    <w:p w14:paraId="46B9D157" w14:textId="0008ECAB" w:rsidR="00656935" w:rsidRPr="00777048" w:rsidRDefault="00F90870" w:rsidP="00C22471">
      <w:pPr>
        <w:pStyle w:val="Heading2"/>
        <w:rPr>
          <w:b w:val="0"/>
          <w:bCs/>
          <w:i/>
          <w:iCs/>
        </w:rPr>
      </w:pPr>
      <w:r w:rsidRPr="00777048">
        <w:rPr>
          <w:b w:val="0"/>
          <w:bCs/>
          <w:i/>
          <w:iCs/>
        </w:rPr>
        <w:t xml:space="preserve">3.3. </w:t>
      </w:r>
      <w:r w:rsidR="00656935" w:rsidRPr="00777048">
        <w:rPr>
          <w:b w:val="0"/>
          <w:bCs/>
          <w:i/>
          <w:iCs/>
        </w:rPr>
        <w:t>Cluster Analysis</w:t>
      </w:r>
    </w:p>
    <w:p w14:paraId="107480A2" w14:textId="4459B7FB" w:rsidR="00656935" w:rsidRPr="00DA1788" w:rsidRDefault="00656935" w:rsidP="00831DEC">
      <w:pPr>
        <w:pStyle w:val="Heading3"/>
        <w:rPr>
          <w:b/>
          <w:bCs/>
        </w:rPr>
      </w:pPr>
      <w:r w:rsidRPr="00DA1788">
        <w:rPr>
          <w:b/>
          <w:bCs/>
        </w:rPr>
        <w:t>Identification of Practice Behaviours</w:t>
      </w:r>
    </w:p>
    <w:p w14:paraId="6EB335DE" w14:textId="39BD8BAF" w:rsidR="00C22471" w:rsidRDefault="00151850" w:rsidP="00993896">
      <w:pPr>
        <w:ind w:firstLine="720"/>
      </w:pPr>
      <w:r>
        <w:t xml:space="preserve">We interpreted the results of the hierarchical cluster analyses and selected four clusters for reporting. These demonstrated easily interpretable patterns of practice using the four metrics. </w:t>
      </w:r>
      <w:r w:rsidR="00C51351">
        <w:t>Cluster</w:t>
      </w:r>
      <w:r>
        <w:t xml:space="preserve"> 1 included larger blocks of practice in relatively short periods and minimal days without play (See Table 4 for specific median and interquartile range values). </w:t>
      </w:r>
      <w:r w:rsidR="00C51351">
        <w:t>Cluster</w:t>
      </w:r>
      <w:r w:rsidR="00C22471">
        <w:t xml:space="preserve"> 2 displayed shorter blocks of practice than </w:t>
      </w:r>
      <w:r w:rsidR="00C51351">
        <w:t>Cluster 1</w:t>
      </w:r>
      <w:r w:rsidR="00363C8A">
        <w:t xml:space="preserve"> but with more days without play, resulting in a lower ratio of days practised to not practi</w:t>
      </w:r>
      <w:r w:rsidR="001C0A09">
        <w:t>sed</w:t>
      </w:r>
      <w:r w:rsidR="00C22471">
        <w:t xml:space="preserve">. </w:t>
      </w:r>
      <w:r w:rsidR="00C51351">
        <w:t>Cluster</w:t>
      </w:r>
      <w:r w:rsidR="00C22471">
        <w:t xml:space="preserve"> 3 had occasional very large one and three-day blocks, but the player may go many days without practice. Lastly, </w:t>
      </w:r>
      <w:r w:rsidR="00C51351">
        <w:t>Cluster</w:t>
      </w:r>
      <w:r w:rsidR="00C22471">
        <w:t xml:space="preserve"> 4 included small single and multi-day practice blocks, but somewhat more consistency than </w:t>
      </w:r>
      <w:r w:rsidR="00C51351">
        <w:t>Cluster</w:t>
      </w:r>
      <w:r w:rsidR="00C22471">
        <w:t xml:space="preserve"> 3.  </w:t>
      </w:r>
    </w:p>
    <w:p w14:paraId="69866F25" w14:textId="703903BF" w:rsidR="00E2011D" w:rsidRDefault="00E2011D">
      <w:pPr>
        <w:spacing w:after="160" w:line="259" w:lineRule="auto"/>
      </w:pPr>
      <w:r>
        <w:br w:type="page"/>
      </w:r>
    </w:p>
    <w:p w14:paraId="26DA2928" w14:textId="77777777" w:rsidR="00246B76" w:rsidRDefault="00246B76" w:rsidP="00246B76">
      <w:pPr>
        <w:pStyle w:val="Caption"/>
        <w:keepNext/>
      </w:pPr>
      <w:r>
        <w:lastRenderedPageBreak/>
        <w:t xml:space="preserve">Table 4. </w:t>
      </w:r>
    </w:p>
    <w:p w14:paraId="1A69A6E5" w14:textId="77777777" w:rsidR="00246B76" w:rsidRPr="00C22471" w:rsidRDefault="00246B76" w:rsidP="00246B76">
      <w:pPr>
        <w:rPr>
          <w:i/>
          <w:iCs/>
        </w:rPr>
      </w:pPr>
      <w:r>
        <w:rPr>
          <w:i/>
          <w:iCs/>
        </w:rPr>
        <w:t>The practice characteristics of each cluster (median and interquartile range)</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806"/>
        <w:gridCol w:w="1805"/>
        <w:gridCol w:w="1805"/>
        <w:gridCol w:w="1805"/>
        <w:gridCol w:w="1805"/>
      </w:tblGrid>
      <w:tr w:rsidR="00246B76" w:rsidRPr="00ED2047" w14:paraId="040D8831" w14:textId="77777777" w:rsidTr="00181211">
        <w:trPr>
          <w:trHeight w:val="340"/>
        </w:trPr>
        <w:tc>
          <w:tcPr>
            <w:tcW w:w="1000" w:type="pct"/>
            <w:tcBorders>
              <w:top w:val="single" w:sz="12" w:space="0" w:color="auto"/>
              <w:left w:val="nil"/>
              <w:bottom w:val="single" w:sz="12" w:space="0" w:color="auto"/>
            </w:tcBorders>
            <w:vAlign w:val="center"/>
          </w:tcPr>
          <w:p w14:paraId="62345DFB" w14:textId="77777777" w:rsidR="00246B76" w:rsidRPr="00ED2047" w:rsidRDefault="00246B76" w:rsidP="00181211">
            <w:pPr>
              <w:spacing w:line="276" w:lineRule="auto"/>
              <w:rPr>
                <w:rFonts w:cs="Arial"/>
                <w:b/>
                <w:bCs/>
                <w:color w:val="000000" w:themeColor="text1"/>
                <w:sz w:val="20"/>
                <w:szCs w:val="20"/>
              </w:rPr>
            </w:pPr>
            <w:r>
              <w:rPr>
                <w:rFonts w:cs="Arial"/>
                <w:b/>
                <w:bCs/>
                <w:color w:val="000000" w:themeColor="text1"/>
                <w:sz w:val="20"/>
                <w:szCs w:val="20"/>
              </w:rPr>
              <w:t>Cluster</w:t>
            </w:r>
          </w:p>
        </w:tc>
        <w:tc>
          <w:tcPr>
            <w:tcW w:w="1000" w:type="pct"/>
            <w:tcBorders>
              <w:top w:val="single" w:sz="12" w:space="0" w:color="auto"/>
              <w:bottom w:val="single" w:sz="12" w:space="0" w:color="auto"/>
            </w:tcBorders>
            <w:vAlign w:val="center"/>
          </w:tcPr>
          <w:p w14:paraId="0E064845" w14:textId="77777777" w:rsidR="00246B76" w:rsidRPr="00ED2047" w:rsidRDefault="00246B76" w:rsidP="00181211">
            <w:pPr>
              <w:spacing w:line="276" w:lineRule="auto"/>
              <w:jc w:val="center"/>
              <w:rPr>
                <w:rFonts w:cs="Arial"/>
                <w:b/>
                <w:bCs/>
                <w:color w:val="000000" w:themeColor="text1"/>
                <w:sz w:val="20"/>
                <w:szCs w:val="20"/>
              </w:rPr>
            </w:pPr>
            <w:r>
              <w:rPr>
                <w:rFonts w:cs="Arial"/>
                <w:b/>
                <w:bCs/>
                <w:color w:val="000000" w:themeColor="text1"/>
                <w:sz w:val="20"/>
                <w:szCs w:val="20"/>
              </w:rPr>
              <w:t>One day Practice Block</w:t>
            </w:r>
          </w:p>
        </w:tc>
        <w:tc>
          <w:tcPr>
            <w:tcW w:w="1000" w:type="pct"/>
            <w:tcBorders>
              <w:top w:val="single" w:sz="12" w:space="0" w:color="auto"/>
              <w:bottom w:val="single" w:sz="12" w:space="0" w:color="auto"/>
            </w:tcBorders>
            <w:vAlign w:val="center"/>
          </w:tcPr>
          <w:p w14:paraId="220F29A1" w14:textId="77777777" w:rsidR="00246B76" w:rsidRPr="00ED2047" w:rsidRDefault="00246B76" w:rsidP="00181211">
            <w:pPr>
              <w:spacing w:line="276" w:lineRule="auto"/>
              <w:jc w:val="center"/>
              <w:rPr>
                <w:rFonts w:cs="Arial"/>
                <w:b/>
                <w:bCs/>
                <w:color w:val="000000" w:themeColor="text1"/>
                <w:sz w:val="20"/>
                <w:szCs w:val="20"/>
              </w:rPr>
            </w:pPr>
            <w:r>
              <w:rPr>
                <w:rFonts w:cs="Arial"/>
                <w:b/>
                <w:bCs/>
                <w:color w:val="000000" w:themeColor="text1"/>
                <w:sz w:val="20"/>
                <w:szCs w:val="20"/>
              </w:rPr>
              <w:t>Three-Day Practice Block</w:t>
            </w:r>
          </w:p>
        </w:tc>
        <w:tc>
          <w:tcPr>
            <w:tcW w:w="1000" w:type="pct"/>
            <w:tcBorders>
              <w:top w:val="single" w:sz="12" w:space="0" w:color="auto"/>
              <w:bottom w:val="single" w:sz="12" w:space="0" w:color="auto"/>
            </w:tcBorders>
            <w:vAlign w:val="center"/>
          </w:tcPr>
          <w:p w14:paraId="3ABCBF8F" w14:textId="77777777" w:rsidR="00246B76" w:rsidRPr="00ED2047" w:rsidRDefault="00246B76" w:rsidP="00181211">
            <w:pPr>
              <w:spacing w:line="276" w:lineRule="auto"/>
              <w:jc w:val="center"/>
              <w:rPr>
                <w:rFonts w:cs="Arial"/>
                <w:b/>
                <w:bCs/>
                <w:color w:val="000000" w:themeColor="text1"/>
                <w:sz w:val="20"/>
                <w:szCs w:val="20"/>
              </w:rPr>
            </w:pPr>
            <w:r>
              <w:rPr>
                <w:rFonts w:cs="Arial"/>
                <w:b/>
                <w:bCs/>
                <w:color w:val="000000" w:themeColor="text1"/>
                <w:sz w:val="20"/>
                <w:szCs w:val="20"/>
              </w:rPr>
              <w:t>Days without Practising</w:t>
            </w:r>
          </w:p>
        </w:tc>
        <w:tc>
          <w:tcPr>
            <w:tcW w:w="1000" w:type="pct"/>
            <w:tcBorders>
              <w:top w:val="single" w:sz="12" w:space="0" w:color="auto"/>
              <w:bottom w:val="single" w:sz="12" w:space="0" w:color="auto"/>
              <w:right w:val="nil"/>
            </w:tcBorders>
            <w:vAlign w:val="center"/>
          </w:tcPr>
          <w:p w14:paraId="760DA205" w14:textId="77777777" w:rsidR="00246B76" w:rsidRPr="00ED2047" w:rsidRDefault="00246B76" w:rsidP="00181211">
            <w:pPr>
              <w:spacing w:line="276" w:lineRule="auto"/>
              <w:jc w:val="center"/>
              <w:rPr>
                <w:rFonts w:cs="Arial"/>
                <w:b/>
                <w:bCs/>
                <w:color w:val="000000" w:themeColor="text1"/>
                <w:sz w:val="20"/>
                <w:szCs w:val="20"/>
              </w:rPr>
            </w:pPr>
            <w:r>
              <w:rPr>
                <w:rFonts w:cs="Arial"/>
                <w:b/>
                <w:bCs/>
                <w:color w:val="000000" w:themeColor="text1"/>
                <w:sz w:val="20"/>
                <w:szCs w:val="20"/>
              </w:rPr>
              <w:t>Practice:No Practice Ratio</w:t>
            </w:r>
          </w:p>
        </w:tc>
      </w:tr>
      <w:tr w:rsidR="00246B76" w:rsidRPr="005762D5" w14:paraId="79FFC0F4" w14:textId="77777777" w:rsidTr="00181211">
        <w:trPr>
          <w:trHeight w:val="340"/>
        </w:trPr>
        <w:tc>
          <w:tcPr>
            <w:tcW w:w="1000" w:type="pct"/>
            <w:tcBorders>
              <w:top w:val="single" w:sz="12" w:space="0" w:color="auto"/>
              <w:left w:val="nil"/>
              <w:bottom w:val="nil"/>
            </w:tcBorders>
            <w:vAlign w:val="center"/>
          </w:tcPr>
          <w:p w14:paraId="162E6258" w14:textId="77777777" w:rsidR="00246B76" w:rsidRPr="005762D5" w:rsidRDefault="00246B76" w:rsidP="00181211">
            <w:pPr>
              <w:spacing w:line="276" w:lineRule="auto"/>
              <w:rPr>
                <w:rFonts w:cs="Arial"/>
                <w:color w:val="000000" w:themeColor="text1"/>
                <w:sz w:val="20"/>
                <w:szCs w:val="20"/>
              </w:rPr>
            </w:pPr>
            <w:r>
              <w:rPr>
                <w:rFonts w:cs="Arial"/>
                <w:color w:val="000000" w:themeColor="text1"/>
                <w:sz w:val="20"/>
                <w:szCs w:val="20"/>
              </w:rPr>
              <w:t>1</w:t>
            </w:r>
          </w:p>
        </w:tc>
        <w:tc>
          <w:tcPr>
            <w:tcW w:w="1000" w:type="pct"/>
            <w:tcBorders>
              <w:top w:val="single" w:sz="12" w:space="0" w:color="auto"/>
              <w:bottom w:val="nil"/>
            </w:tcBorders>
            <w:vAlign w:val="center"/>
          </w:tcPr>
          <w:p w14:paraId="0C7F99B2" w14:textId="77777777" w:rsidR="00246B76" w:rsidRPr="005762D5" w:rsidRDefault="00246B76" w:rsidP="00181211">
            <w:pPr>
              <w:spacing w:line="276" w:lineRule="auto"/>
              <w:jc w:val="center"/>
              <w:rPr>
                <w:rFonts w:cs="Arial"/>
                <w:color w:val="000000" w:themeColor="text1"/>
                <w:sz w:val="20"/>
                <w:szCs w:val="20"/>
              </w:rPr>
            </w:pPr>
            <w:r>
              <w:rPr>
                <w:rFonts w:cs="Arial"/>
                <w:color w:val="000000" w:themeColor="text1"/>
                <w:sz w:val="20"/>
                <w:szCs w:val="20"/>
              </w:rPr>
              <w:t>16 (14 – 20)</w:t>
            </w:r>
          </w:p>
        </w:tc>
        <w:tc>
          <w:tcPr>
            <w:tcW w:w="1000" w:type="pct"/>
            <w:tcBorders>
              <w:top w:val="single" w:sz="12" w:space="0" w:color="auto"/>
              <w:bottom w:val="nil"/>
            </w:tcBorders>
            <w:vAlign w:val="center"/>
          </w:tcPr>
          <w:p w14:paraId="1637FF55" w14:textId="77777777" w:rsidR="00246B76" w:rsidRPr="005762D5" w:rsidRDefault="00246B76" w:rsidP="00181211">
            <w:pPr>
              <w:spacing w:line="276" w:lineRule="auto"/>
              <w:jc w:val="center"/>
              <w:rPr>
                <w:rFonts w:cs="Arial"/>
                <w:color w:val="000000" w:themeColor="text1"/>
                <w:sz w:val="20"/>
                <w:szCs w:val="20"/>
              </w:rPr>
            </w:pPr>
            <w:r>
              <w:rPr>
                <w:rFonts w:cs="Arial"/>
                <w:color w:val="000000" w:themeColor="text1"/>
                <w:sz w:val="20"/>
                <w:szCs w:val="20"/>
              </w:rPr>
              <w:t>38 (30 – 44)</w:t>
            </w:r>
          </w:p>
        </w:tc>
        <w:tc>
          <w:tcPr>
            <w:tcW w:w="1000" w:type="pct"/>
            <w:tcBorders>
              <w:top w:val="single" w:sz="12" w:space="0" w:color="auto"/>
              <w:bottom w:val="nil"/>
            </w:tcBorders>
            <w:vAlign w:val="center"/>
          </w:tcPr>
          <w:p w14:paraId="7D4B2629" w14:textId="77777777" w:rsidR="00246B76" w:rsidRPr="005762D5" w:rsidRDefault="00246B76" w:rsidP="00181211">
            <w:pPr>
              <w:spacing w:line="276" w:lineRule="auto"/>
              <w:jc w:val="center"/>
              <w:rPr>
                <w:rFonts w:cs="Arial"/>
                <w:color w:val="000000" w:themeColor="text1"/>
                <w:sz w:val="20"/>
                <w:szCs w:val="20"/>
              </w:rPr>
            </w:pPr>
            <w:r>
              <w:rPr>
                <w:rFonts w:cs="Arial"/>
                <w:color w:val="000000" w:themeColor="text1"/>
                <w:sz w:val="20"/>
                <w:szCs w:val="20"/>
              </w:rPr>
              <w:t>2 (1 – 2)</w:t>
            </w:r>
          </w:p>
        </w:tc>
        <w:tc>
          <w:tcPr>
            <w:tcW w:w="1000" w:type="pct"/>
            <w:tcBorders>
              <w:top w:val="single" w:sz="12" w:space="0" w:color="auto"/>
              <w:bottom w:val="nil"/>
              <w:right w:val="nil"/>
            </w:tcBorders>
            <w:vAlign w:val="center"/>
          </w:tcPr>
          <w:p w14:paraId="4703DB45" w14:textId="77777777" w:rsidR="00246B76" w:rsidRPr="005762D5" w:rsidRDefault="00246B76" w:rsidP="00181211">
            <w:pPr>
              <w:spacing w:line="276" w:lineRule="auto"/>
              <w:jc w:val="center"/>
              <w:rPr>
                <w:rFonts w:cs="Arial"/>
                <w:color w:val="000000" w:themeColor="text1"/>
                <w:sz w:val="20"/>
                <w:szCs w:val="20"/>
              </w:rPr>
            </w:pPr>
            <w:r>
              <w:rPr>
                <w:rFonts w:cs="Arial"/>
                <w:color w:val="000000" w:themeColor="text1"/>
                <w:sz w:val="20"/>
                <w:szCs w:val="20"/>
              </w:rPr>
              <w:t>7.5 (4.6 – 10.0)</w:t>
            </w:r>
          </w:p>
        </w:tc>
      </w:tr>
      <w:tr w:rsidR="00246B76" w:rsidRPr="005762D5" w14:paraId="3063C811" w14:textId="77777777" w:rsidTr="00181211">
        <w:trPr>
          <w:trHeight w:val="340"/>
        </w:trPr>
        <w:tc>
          <w:tcPr>
            <w:tcW w:w="1000" w:type="pct"/>
            <w:tcBorders>
              <w:top w:val="nil"/>
              <w:left w:val="nil"/>
              <w:bottom w:val="nil"/>
            </w:tcBorders>
            <w:vAlign w:val="center"/>
          </w:tcPr>
          <w:p w14:paraId="639A3724" w14:textId="77777777" w:rsidR="00246B76" w:rsidRPr="005762D5" w:rsidRDefault="00246B76" w:rsidP="00181211">
            <w:pPr>
              <w:spacing w:line="276" w:lineRule="auto"/>
              <w:rPr>
                <w:rFonts w:cs="Arial"/>
                <w:color w:val="000000" w:themeColor="text1"/>
                <w:sz w:val="20"/>
                <w:szCs w:val="20"/>
              </w:rPr>
            </w:pPr>
            <w:r>
              <w:rPr>
                <w:rFonts w:cs="Arial"/>
                <w:color w:val="000000" w:themeColor="text1"/>
                <w:sz w:val="20"/>
                <w:szCs w:val="20"/>
              </w:rPr>
              <w:t>2</w:t>
            </w:r>
          </w:p>
        </w:tc>
        <w:tc>
          <w:tcPr>
            <w:tcW w:w="1000" w:type="pct"/>
            <w:tcBorders>
              <w:top w:val="nil"/>
              <w:bottom w:val="nil"/>
            </w:tcBorders>
            <w:vAlign w:val="center"/>
          </w:tcPr>
          <w:p w14:paraId="2E424C80" w14:textId="77777777" w:rsidR="00246B76" w:rsidRPr="005762D5" w:rsidRDefault="00246B76" w:rsidP="00181211">
            <w:pPr>
              <w:spacing w:line="276" w:lineRule="auto"/>
              <w:jc w:val="center"/>
              <w:rPr>
                <w:rFonts w:cs="Arial"/>
                <w:color w:val="000000" w:themeColor="text1"/>
                <w:sz w:val="20"/>
                <w:szCs w:val="20"/>
              </w:rPr>
            </w:pPr>
            <w:r>
              <w:rPr>
                <w:rFonts w:cs="Arial"/>
                <w:color w:val="000000" w:themeColor="text1"/>
                <w:sz w:val="20"/>
                <w:szCs w:val="20"/>
              </w:rPr>
              <w:t>13 (11 – 15)</w:t>
            </w:r>
          </w:p>
        </w:tc>
        <w:tc>
          <w:tcPr>
            <w:tcW w:w="1000" w:type="pct"/>
            <w:tcBorders>
              <w:top w:val="nil"/>
              <w:bottom w:val="nil"/>
            </w:tcBorders>
            <w:vAlign w:val="center"/>
          </w:tcPr>
          <w:p w14:paraId="407D9DF8" w14:textId="77777777" w:rsidR="00246B76" w:rsidRPr="005762D5" w:rsidRDefault="00246B76" w:rsidP="00181211">
            <w:pPr>
              <w:spacing w:line="276" w:lineRule="auto"/>
              <w:jc w:val="center"/>
              <w:rPr>
                <w:rFonts w:cs="Arial"/>
                <w:color w:val="000000" w:themeColor="text1"/>
                <w:sz w:val="20"/>
                <w:szCs w:val="20"/>
              </w:rPr>
            </w:pPr>
            <w:r>
              <w:rPr>
                <w:rFonts w:cs="Arial"/>
                <w:color w:val="000000" w:themeColor="text1"/>
                <w:sz w:val="20"/>
                <w:szCs w:val="20"/>
              </w:rPr>
              <w:t>28 (24 – 32)</w:t>
            </w:r>
          </w:p>
        </w:tc>
        <w:tc>
          <w:tcPr>
            <w:tcW w:w="1000" w:type="pct"/>
            <w:tcBorders>
              <w:top w:val="nil"/>
              <w:bottom w:val="nil"/>
            </w:tcBorders>
            <w:vAlign w:val="center"/>
          </w:tcPr>
          <w:p w14:paraId="2E221A45" w14:textId="77777777" w:rsidR="00246B76" w:rsidRPr="005762D5" w:rsidRDefault="00246B76" w:rsidP="00181211">
            <w:pPr>
              <w:spacing w:line="276" w:lineRule="auto"/>
              <w:jc w:val="center"/>
              <w:rPr>
                <w:rFonts w:cs="Arial"/>
                <w:color w:val="000000" w:themeColor="text1"/>
                <w:sz w:val="20"/>
                <w:szCs w:val="20"/>
              </w:rPr>
            </w:pPr>
            <w:r>
              <w:rPr>
                <w:rFonts w:cs="Arial"/>
                <w:color w:val="000000" w:themeColor="text1"/>
                <w:sz w:val="20"/>
                <w:szCs w:val="20"/>
              </w:rPr>
              <w:t>3 (3 – 4)</w:t>
            </w:r>
          </w:p>
        </w:tc>
        <w:tc>
          <w:tcPr>
            <w:tcW w:w="1000" w:type="pct"/>
            <w:tcBorders>
              <w:top w:val="nil"/>
              <w:bottom w:val="nil"/>
              <w:right w:val="nil"/>
            </w:tcBorders>
            <w:vAlign w:val="center"/>
          </w:tcPr>
          <w:p w14:paraId="6D56A779" w14:textId="77777777" w:rsidR="00246B76" w:rsidRPr="005762D5" w:rsidRDefault="00246B76" w:rsidP="00181211">
            <w:pPr>
              <w:spacing w:line="276" w:lineRule="auto"/>
              <w:jc w:val="center"/>
              <w:rPr>
                <w:rFonts w:cs="Arial"/>
                <w:color w:val="000000" w:themeColor="text1"/>
                <w:sz w:val="20"/>
                <w:szCs w:val="20"/>
              </w:rPr>
            </w:pPr>
            <w:r>
              <w:rPr>
                <w:rFonts w:cs="Arial"/>
                <w:color w:val="000000" w:themeColor="text1"/>
                <w:sz w:val="20"/>
                <w:szCs w:val="20"/>
              </w:rPr>
              <w:t>3.8 (2.9 – 5.0)</w:t>
            </w:r>
          </w:p>
        </w:tc>
      </w:tr>
      <w:tr w:rsidR="00246B76" w:rsidRPr="005762D5" w14:paraId="5C0C3A0F" w14:textId="77777777" w:rsidTr="00181211">
        <w:trPr>
          <w:trHeight w:val="340"/>
        </w:trPr>
        <w:tc>
          <w:tcPr>
            <w:tcW w:w="1000" w:type="pct"/>
            <w:tcBorders>
              <w:top w:val="nil"/>
              <w:left w:val="nil"/>
              <w:bottom w:val="nil"/>
            </w:tcBorders>
            <w:vAlign w:val="center"/>
          </w:tcPr>
          <w:p w14:paraId="7EFEF86F" w14:textId="77777777" w:rsidR="00246B76" w:rsidRPr="005762D5" w:rsidRDefault="00246B76" w:rsidP="00181211">
            <w:pPr>
              <w:spacing w:line="276" w:lineRule="auto"/>
              <w:rPr>
                <w:rFonts w:cs="Arial"/>
                <w:color w:val="000000" w:themeColor="text1"/>
                <w:sz w:val="20"/>
                <w:szCs w:val="20"/>
              </w:rPr>
            </w:pPr>
            <w:r>
              <w:rPr>
                <w:rFonts w:cs="Arial"/>
                <w:color w:val="000000" w:themeColor="text1"/>
                <w:sz w:val="20"/>
                <w:szCs w:val="20"/>
              </w:rPr>
              <w:t>3</w:t>
            </w:r>
          </w:p>
        </w:tc>
        <w:tc>
          <w:tcPr>
            <w:tcW w:w="1000" w:type="pct"/>
            <w:tcBorders>
              <w:top w:val="nil"/>
              <w:bottom w:val="nil"/>
            </w:tcBorders>
            <w:vAlign w:val="center"/>
          </w:tcPr>
          <w:p w14:paraId="168DA660" w14:textId="77777777" w:rsidR="00246B76" w:rsidRPr="005762D5" w:rsidRDefault="00246B76" w:rsidP="00181211">
            <w:pPr>
              <w:spacing w:line="276" w:lineRule="auto"/>
              <w:jc w:val="center"/>
              <w:rPr>
                <w:rFonts w:cs="Arial"/>
                <w:color w:val="000000" w:themeColor="text1"/>
                <w:sz w:val="20"/>
                <w:szCs w:val="20"/>
              </w:rPr>
            </w:pPr>
            <w:r>
              <w:rPr>
                <w:rFonts w:cs="Arial"/>
                <w:color w:val="000000" w:themeColor="text1"/>
                <w:sz w:val="20"/>
                <w:szCs w:val="20"/>
              </w:rPr>
              <w:t>16 (14 – 18)</w:t>
            </w:r>
          </w:p>
        </w:tc>
        <w:tc>
          <w:tcPr>
            <w:tcW w:w="1000" w:type="pct"/>
            <w:tcBorders>
              <w:top w:val="nil"/>
              <w:bottom w:val="nil"/>
            </w:tcBorders>
            <w:vAlign w:val="center"/>
          </w:tcPr>
          <w:p w14:paraId="533461A7" w14:textId="77777777" w:rsidR="00246B76" w:rsidRPr="005762D5" w:rsidRDefault="00246B76" w:rsidP="00181211">
            <w:pPr>
              <w:spacing w:line="276" w:lineRule="auto"/>
              <w:jc w:val="center"/>
              <w:rPr>
                <w:rFonts w:cs="Arial"/>
                <w:color w:val="000000" w:themeColor="text1"/>
                <w:sz w:val="20"/>
                <w:szCs w:val="20"/>
              </w:rPr>
            </w:pPr>
            <w:r>
              <w:rPr>
                <w:rFonts w:cs="Arial"/>
                <w:color w:val="000000" w:themeColor="text1"/>
                <w:sz w:val="20"/>
                <w:szCs w:val="20"/>
              </w:rPr>
              <w:t>32 (27 – 38)</w:t>
            </w:r>
          </w:p>
        </w:tc>
        <w:tc>
          <w:tcPr>
            <w:tcW w:w="1000" w:type="pct"/>
            <w:tcBorders>
              <w:top w:val="nil"/>
              <w:bottom w:val="nil"/>
            </w:tcBorders>
            <w:vAlign w:val="center"/>
          </w:tcPr>
          <w:p w14:paraId="1B932707" w14:textId="77777777" w:rsidR="00246B76" w:rsidRPr="005762D5" w:rsidRDefault="00246B76" w:rsidP="00181211">
            <w:pPr>
              <w:spacing w:line="276" w:lineRule="auto"/>
              <w:jc w:val="center"/>
              <w:rPr>
                <w:rFonts w:cs="Arial"/>
                <w:color w:val="000000" w:themeColor="text1"/>
                <w:sz w:val="20"/>
                <w:szCs w:val="20"/>
              </w:rPr>
            </w:pPr>
            <w:r>
              <w:rPr>
                <w:rFonts w:cs="Arial"/>
                <w:color w:val="000000" w:themeColor="text1"/>
                <w:sz w:val="20"/>
                <w:szCs w:val="20"/>
              </w:rPr>
              <w:t>7 (6 – 7)</w:t>
            </w:r>
          </w:p>
        </w:tc>
        <w:tc>
          <w:tcPr>
            <w:tcW w:w="1000" w:type="pct"/>
            <w:tcBorders>
              <w:top w:val="nil"/>
              <w:bottom w:val="nil"/>
              <w:right w:val="nil"/>
            </w:tcBorders>
            <w:vAlign w:val="center"/>
          </w:tcPr>
          <w:p w14:paraId="774CE579" w14:textId="77777777" w:rsidR="00246B76" w:rsidRPr="005762D5" w:rsidRDefault="00246B76" w:rsidP="00181211">
            <w:pPr>
              <w:spacing w:line="276" w:lineRule="auto"/>
              <w:jc w:val="center"/>
              <w:rPr>
                <w:rFonts w:cs="Arial"/>
                <w:color w:val="000000" w:themeColor="text1"/>
                <w:sz w:val="20"/>
                <w:szCs w:val="20"/>
              </w:rPr>
            </w:pPr>
            <w:r>
              <w:rPr>
                <w:rFonts w:cs="Arial"/>
                <w:color w:val="000000" w:themeColor="text1"/>
                <w:sz w:val="20"/>
                <w:szCs w:val="20"/>
              </w:rPr>
              <w:t>1.0 (0.6 – 1.5)</w:t>
            </w:r>
          </w:p>
        </w:tc>
      </w:tr>
      <w:tr w:rsidR="00246B76" w:rsidRPr="005762D5" w14:paraId="7CBE0381" w14:textId="77777777" w:rsidTr="00181211">
        <w:trPr>
          <w:trHeight w:val="340"/>
        </w:trPr>
        <w:tc>
          <w:tcPr>
            <w:tcW w:w="1000" w:type="pct"/>
            <w:tcBorders>
              <w:top w:val="nil"/>
              <w:left w:val="nil"/>
              <w:bottom w:val="single" w:sz="12" w:space="0" w:color="auto"/>
            </w:tcBorders>
            <w:vAlign w:val="center"/>
          </w:tcPr>
          <w:p w14:paraId="5C1C28E4" w14:textId="77777777" w:rsidR="00246B76" w:rsidRPr="005762D5" w:rsidRDefault="00246B76" w:rsidP="00181211">
            <w:pPr>
              <w:spacing w:line="276" w:lineRule="auto"/>
              <w:rPr>
                <w:rFonts w:cs="Arial"/>
                <w:color w:val="000000" w:themeColor="text1"/>
                <w:sz w:val="20"/>
                <w:szCs w:val="20"/>
              </w:rPr>
            </w:pPr>
            <w:r>
              <w:rPr>
                <w:rFonts w:cs="Arial"/>
                <w:color w:val="000000" w:themeColor="text1"/>
                <w:sz w:val="20"/>
                <w:szCs w:val="20"/>
              </w:rPr>
              <w:t>4</w:t>
            </w:r>
          </w:p>
        </w:tc>
        <w:tc>
          <w:tcPr>
            <w:tcW w:w="1000" w:type="pct"/>
            <w:tcBorders>
              <w:top w:val="nil"/>
              <w:bottom w:val="single" w:sz="12" w:space="0" w:color="auto"/>
            </w:tcBorders>
            <w:vAlign w:val="center"/>
          </w:tcPr>
          <w:p w14:paraId="3F598BB2" w14:textId="77777777" w:rsidR="00246B76" w:rsidRPr="005762D5" w:rsidRDefault="00246B76" w:rsidP="00181211">
            <w:pPr>
              <w:spacing w:line="276" w:lineRule="auto"/>
              <w:jc w:val="center"/>
              <w:rPr>
                <w:rFonts w:cs="Arial"/>
                <w:color w:val="000000" w:themeColor="text1"/>
                <w:sz w:val="20"/>
                <w:szCs w:val="20"/>
              </w:rPr>
            </w:pPr>
            <w:r>
              <w:rPr>
                <w:rFonts w:cs="Arial"/>
                <w:color w:val="000000" w:themeColor="text1"/>
                <w:sz w:val="20"/>
                <w:szCs w:val="20"/>
              </w:rPr>
              <w:t>10 (9 – 11)</w:t>
            </w:r>
          </w:p>
        </w:tc>
        <w:tc>
          <w:tcPr>
            <w:tcW w:w="1000" w:type="pct"/>
            <w:tcBorders>
              <w:top w:val="nil"/>
              <w:bottom w:val="single" w:sz="12" w:space="0" w:color="auto"/>
            </w:tcBorders>
            <w:vAlign w:val="center"/>
          </w:tcPr>
          <w:p w14:paraId="6950EF79" w14:textId="77777777" w:rsidR="00246B76" w:rsidRPr="005762D5" w:rsidRDefault="00246B76" w:rsidP="00181211">
            <w:pPr>
              <w:spacing w:line="276" w:lineRule="auto"/>
              <w:jc w:val="center"/>
              <w:rPr>
                <w:rFonts w:cs="Arial"/>
                <w:color w:val="000000" w:themeColor="text1"/>
                <w:sz w:val="20"/>
                <w:szCs w:val="20"/>
              </w:rPr>
            </w:pPr>
            <w:r>
              <w:rPr>
                <w:rFonts w:cs="Arial"/>
                <w:color w:val="000000" w:themeColor="text1"/>
                <w:sz w:val="20"/>
                <w:szCs w:val="20"/>
              </w:rPr>
              <w:t>20 (17 – 23)</w:t>
            </w:r>
          </w:p>
        </w:tc>
        <w:tc>
          <w:tcPr>
            <w:tcW w:w="1000" w:type="pct"/>
            <w:tcBorders>
              <w:top w:val="nil"/>
              <w:bottom w:val="single" w:sz="12" w:space="0" w:color="auto"/>
            </w:tcBorders>
            <w:vAlign w:val="center"/>
          </w:tcPr>
          <w:p w14:paraId="60FFDD8E" w14:textId="77777777" w:rsidR="00246B76" w:rsidRPr="005762D5" w:rsidRDefault="00246B76" w:rsidP="00181211">
            <w:pPr>
              <w:spacing w:line="276" w:lineRule="auto"/>
              <w:jc w:val="center"/>
              <w:rPr>
                <w:rFonts w:cs="Arial"/>
                <w:color w:val="000000" w:themeColor="text1"/>
                <w:sz w:val="20"/>
                <w:szCs w:val="20"/>
              </w:rPr>
            </w:pPr>
            <w:r>
              <w:rPr>
                <w:rFonts w:cs="Arial"/>
                <w:color w:val="000000" w:themeColor="text1"/>
                <w:sz w:val="20"/>
                <w:szCs w:val="20"/>
              </w:rPr>
              <w:t>6 (5 – 7)</w:t>
            </w:r>
          </w:p>
        </w:tc>
        <w:tc>
          <w:tcPr>
            <w:tcW w:w="1000" w:type="pct"/>
            <w:tcBorders>
              <w:top w:val="nil"/>
              <w:bottom w:val="single" w:sz="12" w:space="0" w:color="auto"/>
              <w:right w:val="nil"/>
            </w:tcBorders>
            <w:vAlign w:val="center"/>
          </w:tcPr>
          <w:p w14:paraId="52E3804E" w14:textId="77777777" w:rsidR="00246B76" w:rsidRPr="005762D5" w:rsidRDefault="00246B76" w:rsidP="00181211">
            <w:pPr>
              <w:spacing w:line="276" w:lineRule="auto"/>
              <w:jc w:val="center"/>
              <w:rPr>
                <w:rFonts w:cs="Arial"/>
                <w:color w:val="000000" w:themeColor="text1"/>
                <w:sz w:val="20"/>
                <w:szCs w:val="20"/>
              </w:rPr>
            </w:pPr>
            <w:r>
              <w:rPr>
                <w:rFonts w:cs="Arial"/>
                <w:color w:val="000000" w:themeColor="text1"/>
                <w:sz w:val="20"/>
                <w:szCs w:val="20"/>
              </w:rPr>
              <w:t>1.4 (0.8 – 2.3)</w:t>
            </w:r>
          </w:p>
        </w:tc>
      </w:tr>
    </w:tbl>
    <w:p w14:paraId="05631D7E" w14:textId="2C3A0156" w:rsidR="00C22471" w:rsidRDefault="00C22471" w:rsidP="0034251A">
      <w:pPr>
        <w:ind w:firstLine="720"/>
      </w:pPr>
      <w:r>
        <w:t xml:space="preserve">The proportion of players in each cluster varied depending on </w:t>
      </w:r>
      <w:r w:rsidR="007F28F3">
        <w:t xml:space="preserve">the </w:t>
      </w:r>
      <w:r>
        <w:t xml:space="preserve">server and tier. Figure </w:t>
      </w:r>
      <w:r w:rsidR="00E9231E">
        <w:t>3</w:t>
      </w:r>
      <w:r>
        <w:t xml:space="preserve"> displays the breakdown.  </w:t>
      </w:r>
    </w:p>
    <w:p w14:paraId="17C6297F" w14:textId="77777777" w:rsidR="00C87D61" w:rsidRDefault="00C87D61" w:rsidP="00C87D61">
      <w:pPr>
        <w:keepNext/>
      </w:pPr>
      <w:r>
        <w:rPr>
          <w:noProof/>
        </w:rPr>
        <w:drawing>
          <wp:inline distT="0" distB="0" distL="0" distR="0" wp14:anchorId="66E2345D" wp14:editId="6496E00C">
            <wp:extent cx="5724525" cy="458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4581525"/>
                    </a:xfrm>
                    <a:prstGeom prst="rect">
                      <a:avLst/>
                    </a:prstGeom>
                    <a:noFill/>
                    <a:ln>
                      <a:noFill/>
                    </a:ln>
                  </pic:spPr>
                </pic:pic>
              </a:graphicData>
            </a:graphic>
          </wp:inline>
        </w:drawing>
      </w:r>
    </w:p>
    <w:p w14:paraId="073C656E" w14:textId="3F4FCCB2" w:rsidR="00C87D61" w:rsidRDefault="00C87D61" w:rsidP="00C87D61">
      <w:pPr>
        <w:pStyle w:val="Caption"/>
      </w:pPr>
      <w:r>
        <w:t xml:space="preserve">Figure </w:t>
      </w:r>
      <w:fldSimple w:instr=" SEQ Figure \* ARABIC ">
        <w:r>
          <w:rPr>
            <w:noProof/>
          </w:rPr>
          <w:t>3</w:t>
        </w:r>
      </w:fldSimple>
      <w:r>
        <w:t>.</w:t>
      </w:r>
    </w:p>
    <w:p w14:paraId="603CFB89" w14:textId="77777777" w:rsidR="00085021" w:rsidRDefault="00085021" w:rsidP="00085021">
      <w:pPr>
        <w:rPr>
          <w:i/>
          <w:iCs/>
        </w:rPr>
      </w:pPr>
      <w:r>
        <w:rPr>
          <w:i/>
          <w:iCs/>
        </w:rPr>
        <w:t xml:space="preserve">The distribution of practice clusters according to server and tier. </w:t>
      </w:r>
    </w:p>
    <w:p w14:paraId="1E8AA97D" w14:textId="77777777" w:rsidR="00085021" w:rsidRPr="004041B1" w:rsidRDefault="00085021" w:rsidP="00085021">
      <w:pPr>
        <w:rPr>
          <w:b/>
          <w:bCs/>
        </w:rPr>
      </w:pPr>
      <w:r>
        <w:rPr>
          <w:i/>
          <w:iCs/>
        </w:rPr>
        <w:t xml:space="preserve">Note. </w:t>
      </w:r>
      <w:r>
        <w:t xml:space="preserve">BR1 = Brazil, JP1 = Japan, RU = Russia, SG2 = Singapore, Malaysia, and Indonesia, NA1 = North America, KR = Korea, EUW1 = Europe West, VN2 = Vietnam. </w:t>
      </w:r>
      <w:r>
        <w:rPr>
          <w:i/>
          <w:iCs/>
        </w:rPr>
        <w:t xml:space="preserve"> </w:t>
      </w:r>
    </w:p>
    <w:p w14:paraId="56A8257A" w14:textId="77777777" w:rsidR="00C87D61" w:rsidRPr="00C87D61" w:rsidRDefault="00C87D61" w:rsidP="00C87D61">
      <w:pPr>
        <w:rPr>
          <w:i/>
          <w:iCs/>
        </w:rPr>
      </w:pPr>
    </w:p>
    <w:p w14:paraId="67B60B6C" w14:textId="7B0BBE67" w:rsidR="00614323" w:rsidRDefault="00614323" w:rsidP="00DA1788">
      <w:pPr>
        <w:pStyle w:val="Heading1"/>
        <w:rPr>
          <w:rFonts w:cs="Arial"/>
          <w:color w:val="000000" w:themeColor="text1"/>
        </w:rPr>
      </w:pPr>
      <w:r>
        <w:rPr>
          <w:rFonts w:cs="Arial"/>
          <w:color w:val="000000" w:themeColor="text1"/>
        </w:rPr>
        <w:lastRenderedPageBreak/>
        <w:t>Discussion</w:t>
      </w:r>
    </w:p>
    <w:p w14:paraId="011349D4" w14:textId="01D376B4" w:rsidR="00153B9A" w:rsidRDefault="00614323" w:rsidP="000A08A0">
      <w:pPr>
        <w:ind w:firstLine="720"/>
      </w:pPr>
      <w:r>
        <w:t xml:space="preserve">The current </w:t>
      </w:r>
      <w:r w:rsidR="005C06E9">
        <w:t xml:space="preserve">exploratory </w:t>
      </w:r>
      <w:r>
        <w:t xml:space="preserve">study </w:t>
      </w:r>
      <w:r w:rsidR="00AF3861">
        <w:t>analyse</w:t>
      </w:r>
      <w:r w:rsidR="005C06E9">
        <w:t>d</w:t>
      </w:r>
      <w:r w:rsidR="00AF3861">
        <w:t xml:space="preserve"> preliminary patterns in expert League of Legends</w:t>
      </w:r>
      <w:r w:rsidR="0085243A">
        <w:t xml:space="preserve"> players</w:t>
      </w:r>
      <w:r w:rsidR="00DA1788">
        <w:t>'</w:t>
      </w:r>
      <w:r w:rsidR="00AF3861">
        <w:t xml:space="preserve"> ranked</w:t>
      </w:r>
      <w:r w:rsidR="004502B0">
        <w:t xml:space="preserve"> (solo/duo queue)</w:t>
      </w:r>
      <w:r w:rsidR="00AF3861">
        <w:t xml:space="preserve"> practice behaviours</w:t>
      </w:r>
      <w:r w:rsidR="001C7AB5">
        <w:t xml:space="preserve"> according to</w:t>
      </w:r>
      <w:r w:rsidR="00B54941">
        <w:t xml:space="preserve"> </w:t>
      </w:r>
      <w:r w:rsidR="0085243A">
        <w:t>their</w:t>
      </w:r>
      <w:r w:rsidR="00B54941">
        <w:t xml:space="preserve"> t</w:t>
      </w:r>
      <w:r w:rsidR="00D6495A">
        <w:t>ier and server</w:t>
      </w:r>
      <w:r w:rsidR="00B54941">
        <w:t>.</w:t>
      </w:r>
      <w:r w:rsidR="00D6495A">
        <w:t xml:space="preserve"> </w:t>
      </w:r>
      <w:r w:rsidR="000A08A0">
        <w:t>Overall, it appears that greater expertise might be associated with more frequent</w:t>
      </w:r>
      <w:r w:rsidR="00F2289A">
        <w:t xml:space="preserve"> and</w:t>
      </w:r>
      <w:r w:rsidR="000A08A0">
        <w:t xml:space="preserve"> consistent</w:t>
      </w:r>
      <w:r w:rsidR="00F2289A">
        <w:t xml:space="preserve"> </w:t>
      </w:r>
      <w:r w:rsidR="000A08A0">
        <w:t xml:space="preserve">daily and weekly practice. Specifically, Challenger players had more matches per day, less variability in daily practice hours, and shorter game durations than other tiers. They also </w:t>
      </w:r>
      <w:r w:rsidR="00AF745D">
        <w:t xml:space="preserve">went the </w:t>
      </w:r>
      <w:r w:rsidR="00026FF2">
        <w:t>fewest</w:t>
      </w:r>
      <w:r w:rsidR="00AF745D">
        <w:t xml:space="preserve"> days without competing in a match</w:t>
      </w:r>
      <w:r w:rsidR="00764897">
        <w:t xml:space="preserve"> and had the highest number of matches in three- and seven-day blocks than any other </w:t>
      </w:r>
      <w:r w:rsidR="004E0359">
        <w:t>tier</w:t>
      </w:r>
      <w:r w:rsidR="00764897">
        <w:t xml:space="preserve">. </w:t>
      </w:r>
      <w:r w:rsidR="000A08A0">
        <w:t>The above trends were similar for servers</w:t>
      </w:r>
      <w:r w:rsidR="00662A63">
        <w:t xml:space="preserve">. </w:t>
      </w:r>
      <w:r w:rsidR="00563FF9">
        <w:t>Those with l</w:t>
      </w:r>
      <w:r w:rsidR="000A08A0">
        <w:t xml:space="preserve">arger player pools </w:t>
      </w:r>
      <w:r w:rsidR="00563FF9">
        <w:t xml:space="preserve">had more daily practice than those with smaller </w:t>
      </w:r>
      <w:r w:rsidR="00C76814">
        <w:t>ones</w:t>
      </w:r>
      <w:r w:rsidR="000A08A0">
        <w:t>. R</w:t>
      </w:r>
      <w:r w:rsidR="00777794">
        <w:t>eaders sho</w:t>
      </w:r>
      <w:r w:rsidR="000626FF">
        <w:t>uld</w:t>
      </w:r>
      <w:r w:rsidR="00777794">
        <w:t xml:space="preserve"> interpret </w:t>
      </w:r>
      <w:r w:rsidR="00563FF9">
        <w:t>our</w:t>
      </w:r>
      <w:r w:rsidR="00777794">
        <w:t xml:space="preserve"> findings </w:t>
      </w:r>
      <w:r w:rsidR="00C76814">
        <w:t>cautiously</w:t>
      </w:r>
      <w:r w:rsidR="00777794">
        <w:t xml:space="preserve"> as they </w:t>
      </w:r>
      <w:r w:rsidR="00617EC2">
        <w:t xml:space="preserve">are </w:t>
      </w:r>
      <w:r w:rsidR="00777794">
        <w:t>b</w:t>
      </w:r>
      <w:r w:rsidR="008745D9">
        <w:t xml:space="preserve">ased </w:t>
      </w:r>
      <w:r w:rsidR="005D6B3B">
        <w:t>largely on a</w:t>
      </w:r>
      <w:r w:rsidR="00D25E5D">
        <w:t xml:space="preserve"> descriptive analysis</w:t>
      </w:r>
      <w:r w:rsidR="008745D9">
        <w:t>.</w:t>
      </w:r>
      <w:r w:rsidR="00A239BE">
        <w:t xml:space="preserve"> We recommend that future research </w:t>
      </w:r>
      <w:r w:rsidR="00026FF2">
        <w:t>employ</w:t>
      </w:r>
      <w:r w:rsidR="00A239BE">
        <w:t xml:space="preserve"> confirmatory methods to explore the relationship between expertise and practice behaviours</w:t>
      </w:r>
      <w:r w:rsidR="000A08A0">
        <w:t xml:space="preserve"> using the hypotheses from this paper</w:t>
      </w:r>
      <w:r w:rsidR="00A239BE">
        <w:t xml:space="preserve">. </w:t>
      </w:r>
      <w:r w:rsidR="008745D9">
        <w:t xml:space="preserve"> </w:t>
      </w:r>
    </w:p>
    <w:p w14:paraId="097ACFC4" w14:textId="541FAD56" w:rsidR="007C433C" w:rsidRPr="00DA1788" w:rsidRDefault="008A648D" w:rsidP="008A648D">
      <w:pPr>
        <w:pStyle w:val="Heading2"/>
      </w:pPr>
      <w:r w:rsidRPr="00DA1788">
        <w:t>Quantity of practice</w:t>
      </w:r>
    </w:p>
    <w:p w14:paraId="4F86B9BB" w14:textId="6505C9F4" w:rsidR="00A67668" w:rsidRDefault="007D5AA5" w:rsidP="002459ED">
      <w:pPr>
        <w:ind w:firstLine="720"/>
      </w:pPr>
      <w:r>
        <w:t>T</w:t>
      </w:r>
      <w:r w:rsidR="004E0359">
        <w:t>he first hypothesis derived from our analyses is th</w:t>
      </w:r>
      <w:r w:rsidR="00FE26C5">
        <w:t>at the</w:t>
      </w:r>
      <w:r w:rsidR="004E0359">
        <w:t xml:space="preserve"> volume of </w:t>
      </w:r>
      <w:r w:rsidR="00F2289A">
        <w:t xml:space="preserve">solo/due ranked </w:t>
      </w:r>
      <w:r w:rsidR="004E0359">
        <w:t xml:space="preserve">practice is likely associated with expertise. We have </w:t>
      </w:r>
      <w:r w:rsidR="00837964">
        <w:t>centred</w:t>
      </w:r>
      <w:r w:rsidR="004E0359">
        <w:t xml:space="preserve"> this</w:t>
      </w:r>
      <w:r w:rsidR="00837964">
        <w:t xml:space="preserve"> hypothesis </w:t>
      </w:r>
      <w:r w:rsidR="004E0359">
        <w:t>on the observation that the Challenger and Grandmaster players had significantly more daily</w:t>
      </w:r>
      <w:r w:rsidR="00F2289A">
        <w:t xml:space="preserve"> solo/duo</w:t>
      </w:r>
      <w:r w:rsidR="004E0359">
        <w:t xml:space="preserve"> ranked practice than Master and Emerald</w:t>
      </w:r>
      <w:r w:rsidR="00512A73">
        <w:t xml:space="preserve"> I</w:t>
      </w:r>
      <w:r w:rsidR="004E0359">
        <w:t xml:space="preserve"> players.</w:t>
      </w:r>
      <w:r w:rsidR="004F10F0">
        <w:t xml:space="preserve"> Furthermore, Challenger players had the most matches in three- and seven-day blocks.</w:t>
      </w:r>
      <w:r w:rsidR="004E0359">
        <w:t xml:space="preserve"> </w:t>
      </w:r>
      <w:r w:rsidR="00FE26C5">
        <w:t xml:space="preserve">Our finding aligns with previous work in esports. Namely, </w:t>
      </w:r>
      <w:r w:rsidR="004E0359">
        <w:fldChar w:fldCharType="begin"/>
      </w:r>
      <w:r w:rsidR="00EC10D9">
        <w:instrText xml:space="preserve"> ADDIN ZOTERO_ITEM CSL_CITATION {"citationID":"s5YATd2H","properties":{"formattedCitation":"(Pluss et al., 2022)","plainCitation":"(Pluss et al., 2022)","dontUpdate":true,"noteIndex":0},"citationItems":[{"id":536,"uris":["http://zotero.org/users/13125511/items/Y7YMWGJ4"],"itemData":{"id":536,"type":"article-journal","abstract":"This study followed a longitudinal design to objectively monitor practice behaviors of professional and semi-professional esports players over a year. Publicly available data were collected from 30 male Counter-Strike: Global Offensive players (age: 23.76 ± 2.88y). Players were classified into two groups: professional (n = 18) or semi-professional (n = 12). The total hours of practice (all game-specific practice) and the competitive hours of practice (time spent in competitive modes only) were collected weekly. Generalised Estimating Equations were used to compare the practice behaviors of the two groups. Professional and semi-professional esports players completed an average of 30.9 ± 8.2 h and 24.7 ± 3.6 h per week of total game-specific practice, respectively, and 19.6 ± 6.9 and 15.0 ± 2.7 h of competitive practice, respectively. A significant week</w:instrText>
      </w:r>
      <w:r w:rsidR="00EC10D9">
        <w:rPr>
          <w:rFonts w:ascii="Cambria Math" w:hAnsi="Cambria Math" w:cs="Cambria Math"/>
        </w:rPr>
        <w:instrText>∗</w:instrText>
      </w:r>
      <w:r w:rsidR="00EC10D9">
        <w:instrText xml:space="preserve">group interaction was observed for total practice time (Wald </w:instrText>
      </w:r>
      <w:r w:rsidR="00EC10D9">
        <w:rPr>
          <w:rFonts w:cs="Arial"/>
        </w:rPr>
        <w:instrText>χ</w:instrText>
      </w:r>
      <w:r w:rsidR="00EC10D9">
        <w:instrText>2</w:instrText>
      </w:r>
      <w:r w:rsidR="00EC10D9">
        <w:rPr>
          <w:rFonts w:cs="Arial"/>
        </w:rPr>
        <w:instrText> </w:instrText>
      </w:r>
      <w:r w:rsidR="00EC10D9">
        <w:instrText>=</w:instrText>
      </w:r>
      <w:r w:rsidR="00EC10D9">
        <w:rPr>
          <w:rFonts w:cs="Arial"/>
        </w:rPr>
        <w:instrText> </w:instrText>
      </w:r>
      <w:r w:rsidR="00EC10D9">
        <w:instrText>9.48, p</w:instrText>
      </w:r>
      <w:r w:rsidR="00EC10D9">
        <w:rPr>
          <w:rFonts w:cs="Arial"/>
        </w:rPr>
        <w:instrText> </w:instrText>
      </w:r>
      <w:r w:rsidR="00EC10D9">
        <w:instrText>=</w:instrText>
      </w:r>
      <w:r w:rsidR="00EC10D9">
        <w:rPr>
          <w:rFonts w:cs="Arial"/>
        </w:rPr>
        <w:instrText> </w:instrText>
      </w:r>
      <w:r w:rsidR="00EC10D9">
        <w:instrText xml:space="preserve">0.002) and total competition practice time (Wald </w:instrText>
      </w:r>
      <w:r w:rsidR="00EC10D9">
        <w:rPr>
          <w:rFonts w:cs="Arial"/>
        </w:rPr>
        <w:instrText>χ</w:instrText>
      </w:r>
      <w:r w:rsidR="00EC10D9">
        <w:instrText>2</w:instrText>
      </w:r>
      <w:r w:rsidR="00EC10D9">
        <w:rPr>
          <w:rFonts w:cs="Arial"/>
        </w:rPr>
        <w:instrText> </w:instrText>
      </w:r>
      <w:r w:rsidR="00EC10D9">
        <w:instrText>=</w:instrText>
      </w:r>
      <w:r w:rsidR="00EC10D9">
        <w:rPr>
          <w:rFonts w:cs="Arial"/>
        </w:rPr>
        <w:instrText> </w:instrText>
      </w:r>
      <w:r w:rsidR="00EC10D9">
        <w:instrText>7.54, p</w:instrText>
      </w:r>
      <w:r w:rsidR="00EC10D9">
        <w:rPr>
          <w:rFonts w:cs="Arial"/>
        </w:rPr>
        <w:instrText> </w:instrText>
      </w:r>
      <w:r w:rsidR="00EC10D9">
        <w:instrText>=</w:instrText>
      </w:r>
      <w:r w:rsidR="00EC10D9">
        <w:rPr>
          <w:rFonts w:cs="Arial"/>
        </w:rPr>
        <w:instrText> </w:instrText>
      </w:r>
      <w:r w:rsidR="00EC10D9">
        <w:instrText>0.006). Specifically, professional esports players completed 6.6 (SE</w:instrText>
      </w:r>
      <w:r w:rsidR="00EC10D9">
        <w:rPr>
          <w:rFonts w:cs="Arial"/>
        </w:rPr>
        <w:instrText> </w:instrText>
      </w:r>
      <w:r w:rsidR="00EC10D9">
        <w:instrText>=</w:instrText>
      </w:r>
      <w:r w:rsidR="00EC10D9">
        <w:rPr>
          <w:rFonts w:cs="Arial"/>
        </w:rPr>
        <w:instrText> </w:instrText>
      </w:r>
      <w:r w:rsidR="00EC10D9">
        <w:instrText>2.2) hr per week more of total practice hours than semi-professional players, of which 4.8 (SE</w:instrText>
      </w:r>
      <w:r w:rsidR="00EC10D9">
        <w:rPr>
          <w:rFonts w:cs="Arial"/>
        </w:rPr>
        <w:instrText> </w:instrText>
      </w:r>
      <w:r w:rsidR="00EC10D9">
        <w:instrText>=</w:instrText>
      </w:r>
      <w:r w:rsidR="00EC10D9">
        <w:rPr>
          <w:rFonts w:cs="Arial"/>
        </w:rPr>
        <w:instrText> </w:instrText>
      </w:r>
      <w:r w:rsidR="00EC10D9">
        <w:instrText xml:space="preserve">1.8) hr were competitive practice. This sample of expert esports performers complete high volumes of practice which can be monitored via publicly accessible repositories.","container-title":"Computers in Human Behavior","DOI":"10.1016/j.chb.2022.107421","ISSN":"0747-5632","journalAbbreviation":"Computers in Human Behavior","page":"107421","source":"ScienceDirect","title":"Examining the game-specific practice behaviors of professional and semi-professional esports players: A 52-week longitudinal study","title-short":"Examining the game-specific practice behaviors of professional and semi-professional esports players","volume":"137","author":[{"family":"Pluss","given":"Matthew A."},{"family":"Novak","given":"Andrew R."},{"family":"Bennett","given":"Kyle J. M."},{"family":"McBride","given":"Ignatius"},{"family":"Panchuk","given":"Derek"},{"family":"Coutts","given":"Aaron J."},{"family":"Fransen","given":"Job"}],"issued":{"date-parts":[["2022",12,1]]},"citation-key":"plussExaminingGamespecificPractice2022"}}],"schema":"https://github.com/citation-style-language/schema/raw/master/csl-citation.json"} </w:instrText>
      </w:r>
      <w:r w:rsidR="004E0359">
        <w:fldChar w:fldCharType="separate"/>
      </w:r>
      <w:r w:rsidR="004E0359" w:rsidRPr="004E0359">
        <w:rPr>
          <w:rFonts w:cs="Arial"/>
        </w:rPr>
        <w:t xml:space="preserve">Pluss et al. </w:t>
      </w:r>
      <w:r w:rsidR="004E0359">
        <w:rPr>
          <w:rFonts w:cs="Arial"/>
        </w:rPr>
        <w:t>(</w:t>
      </w:r>
      <w:r w:rsidR="004E0359" w:rsidRPr="004E0359">
        <w:rPr>
          <w:rFonts w:cs="Arial"/>
        </w:rPr>
        <w:t>2022)</w:t>
      </w:r>
      <w:r w:rsidR="004E0359">
        <w:fldChar w:fldCharType="end"/>
      </w:r>
      <w:r w:rsidR="004E0359">
        <w:t xml:space="preserve"> reported that professional Counter-Strike: Global Offensive players had more hours of total and competitive practice than those at a semi-professional level.</w:t>
      </w:r>
      <w:r w:rsidR="0055302D">
        <w:t xml:space="preserve"> </w:t>
      </w:r>
      <w:r w:rsidR="00FE26C5">
        <w:t>Some researchers have also observed similar findings in traditional sports</w:t>
      </w:r>
      <w:r w:rsidR="0055302D">
        <w:t xml:space="preserve">. For example, </w:t>
      </w:r>
      <w:r w:rsidR="004E0359">
        <w:t>the time spent in team practice was the most consistent discriminator between elite and sub-elite soccer players</w:t>
      </w:r>
      <w:r w:rsidR="00FE26C5">
        <w:t xml:space="preserve"> </w:t>
      </w:r>
      <w:r w:rsidR="00FE26C5">
        <w:fldChar w:fldCharType="begin"/>
      </w:r>
      <w:r w:rsidR="00EC10D9">
        <w:instrText xml:space="preserve"> ADDIN ZOTERO_ITEM CSL_CITATION {"citationID":"0phuEgku","properties":{"formattedCitation":"(Ward et al., 2007)","plainCitation":"(Ward et al., 2007)","noteIndex":0},"citationItems":[{"id":772,"uris":["http://zotero.org/users/13125511/items/ZK8BGW69"],"itemData":{"id":772,"type":"article-journal","abstract":"The relative contribution of domain</w:instrText>
      </w:r>
      <w:r w:rsidR="00EC10D9">
        <w:rPr>
          <w:rFonts w:ascii="Cambria Math" w:hAnsi="Cambria Math" w:cs="Cambria Math"/>
        </w:rPr>
        <w:instrText>‐</w:instrText>
      </w:r>
      <w:r w:rsidR="00EC10D9">
        <w:instrText>specific and non</w:instrText>
      </w:r>
      <w:r w:rsidR="00EC10D9">
        <w:rPr>
          <w:rFonts w:ascii="Cambria Math" w:hAnsi="Cambria Math" w:cs="Cambria Math"/>
        </w:rPr>
        <w:instrText>‐</w:instrText>
      </w:r>
      <w:r w:rsidR="00EC10D9">
        <w:instrText>domain</w:instrText>
      </w:r>
      <w:r w:rsidR="00EC10D9">
        <w:rPr>
          <w:rFonts w:ascii="Cambria Math" w:hAnsi="Cambria Math" w:cs="Cambria Math"/>
        </w:rPr>
        <w:instrText>‐</w:instrText>
      </w:r>
      <w:r w:rsidR="00EC10D9">
        <w:instrText>specific activities to the development of soccer expertise was examined using a retrospective cross</w:instrText>
      </w:r>
      <w:r w:rsidR="00EC10D9">
        <w:rPr>
          <w:rFonts w:ascii="Cambria Math" w:hAnsi="Cambria Math" w:cs="Cambria Math"/>
        </w:rPr>
        <w:instrText>‐</w:instrText>
      </w:r>
      <w:r w:rsidR="00EC10D9">
        <w:instrText>sectional design. Elite and sub</w:instrText>
      </w:r>
      <w:r w:rsidR="00EC10D9">
        <w:rPr>
          <w:rFonts w:ascii="Cambria Math" w:hAnsi="Cambria Math" w:cs="Cambria Math"/>
        </w:rPr>
        <w:instrText>‐</w:instrText>
      </w:r>
      <w:r w:rsidR="00EC10D9">
        <w:instrText>elite players aged between 9 and 18 years of age completed a participation history questionnaire under supervision. Weekly and accumulated hours spent in soccer team practice most consistently discriminated between skill levels across age cohorts. Elite players spent more time in decision</w:instrText>
      </w:r>
      <w:r w:rsidR="00EC10D9">
        <w:rPr>
          <w:rFonts w:ascii="Cambria Math" w:hAnsi="Cambria Math" w:cs="Cambria Math"/>
        </w:rPr>
        <w:instrText>‐</w:instrText>
      </w:r>
      <w:r w:rsidR="00EC10D9">
        <w:instrText xml:space="preserve">making activities during team practice, possessed higher levels of motivation and had greater parental support. Maturational indices, time spent in playful activities, sporting diversity and time at which specialization occurred did not differentiate between groups. Engaging in activities deliberately designed to improve performance rather than mere experience within the domain or experience of related activities is likely to lead to elite status.","container-title":"High Ability Studies","DOI":"10.1080/13598130701709715","ISSN":"1359-8139","issue":"2","note":"publisher: Routledge\n_eprint: https://doi.org/10.1080/13598130701709715","page":"119-153","source":"Taylor and Francis+NEJM","title":"The road to excellence: deliberate practice and the development of expertise","title-short":"The road to excellence","volume":"18","author":[{"family":"Ward","given":"Paul"},{"family":"Hodges","given":"Nicola J."},{"family":"Starkes","given":"Janet L."},{"family":"Williams","given":"Mark A."}],"issued":{"date-parts":[["2007",12,1]]},"citation-key":"wardRoadExcellenceDeliberate2007"}}],"schema":"https://github.com/citation-style-language/schema/raw/master/csl-citation.json"} </w:instrText>
      </w:r>
      <w:r w:rsidR="00FE26C5">
        <w:fldChar w:fldCharType="separate"/>
      </w:r>
      <w:r w:rsidR="00FE26C5" w:rsidRPr="00FE26C5">
        <w:rPr>
          <w:rFonts w:cs="Arial"/>
        </w:rPr>
        <w:t>(Ward et al., 2007)</w:t>
      </w:r>
      <w:r w:rsidR="00FE26C5">
        <w:fldChar w:fldCharType="end"/>
      </w:r>
      <w:r w:rsidR="004E0359">
        <w:t xml:space="preserve">. Likewise, experts in team ball sports accumulated more hours of sport-specific practice than non-experts after </w:t>
      </w:r>
      <w:r w:rsidR="00FE26C5">
        <w:t>childhood</w:t>
      </w:r>
      <w:r w:rsidR="004E0359">
        <w:t xml:space="preserve"> </w:t>
      </w:r>
      <w:r w:rsidR="004E0359">
        <w:fldChar w:fldCharType="begin"/>
      </w:r>
      <w:r w:rsidR="00EC10D9">
        <w:instrText xml:space="preserve"> ADDIN ZOTERO_ITEM CSL_CITATION {"citationID":"lnN3meRk","properties":{"formattedCitation":"(Baker et al., 2003)","plainCitation":"(Baker et al., 2003)","noteIndex":0},"citationItems":[{"id":770,"uris":["http://zotero.org/users/13125511/items/DQ36DC3T"],"itemData":{"id":770,"type":"article-journal","abstract":"The role of sport-specific practice in the development of decision-making expertise in the sports of field hockey, netball, and basketball was examined. Fifteen expert decision-makers and 13 experienced non-expert athletes provided detailed information about the quantity and type of sport-specific and other related practice activities they had undertaken throughout their careers. Experts accumulated more hours of sport-specific practice from the age of 12 years onwards than did non-experts, spending on average some 13 years and 4,000 hours on concentrated sport-specific practice before reaching international standard. A significant negative correlation existed between the number of additional activities undertaken and the hours of sport-specific training required before attaining expertise, suggesting a functional role for activities other than sport-specific training in the development of expert decision-making.","container-title":"Journal of Applied Sport Psychology","DOI":"10.1080/10413200305400","ISSN":"1041-3200","issue":"1","note":"publisher: Routledge\n_eprint: https://doi.org/10.1080/10413200305400","page":"12-25","source":"Taylor and Francis+NEJM","title":"Sport-Specific Practice and the Development of Expert Decision-Making in Team Ball Sports","volume":"15","author":[{"family":"Baker","given":"Joseph"},{"family":"Cote","given":"Jeane"},{"family":"Abernethy","given":"Bruce"}],"issued":{"date-parts":[["2003",1,1]]},"citation-key":"bakerSportSpecificPracticeDevelopment2003"}}],"schema":"https://github.com/citation-style-language/schema/raw/master/csl-citation.json"} </w:instrText>
      </w:r>
      <w:r w:rsidR="004E0359">
        <w:fldChar w:fldCharType="separate"/>
      </w:r>
      <w:r w:rsidR="004E0359" w:rsidRPr="004E0359">
        <w:rPr>
          <w:rFonts w:cs="Arial"/>
        </w:rPr>
        <w:t>(Baker et al., 2003)</w:t>
      </w:r>
      <w:r w:rsidR="004E0359">
        <w:fldChar w:fldCharType="end"/>
      </w:r>
      <w:r w:rsidR="004E0359">
        <w:t xml:space="preserve">. Despite this, we note that </w:t>
      </w:r>
      <w:r w:rsidR="0055302D">
        <w:t xml:space="preserve">practice </w:t>
      </w:r>
      <w:r w:rsidR="00884860">
        <w:t>only sometimes</w:t>
      </w:r>
      <w:r w:rsidR="0055302D">
        <w:t xml:space="preserve"> discriminate</w:t>
      </w:r>
      <w:r w:rsidR="00884860">
        <w:t>s between</w:t>
      </w:r>
      <w:r w:rsidR="0055302D">
        <w:t xml:space="preserve"> expertise groups</w:t>
      </w:r>
      <w:r w:rsidR="009F42C7">
        <w:t xml:space="preserve">. </w:t>
      </w:r>
      <w:r w:rsidR="004E0359">
        <w:fldChar w:fldCharType="begin"/>
      </w:r>
      <w:r w:rsidR="00EC10D9">
        <w:instrText xml:space="preserve"> ADDIN ZOTERO_ITEM CSL_CITATION {"citationID":"Mr5dqqY4","properties":{"formattedCitation":"(Ford et al., 2009)","plainCitation":"(Ford et al., 2009)","dontUpdate":true,"noteIndex":0},"citationItems":[{"id":377,"uris":["http://zotero.org/users/13125511/items/BIMIFCCR"],"itemData":{"id":377,"type":"article-journal","abstract":"Experts acquire domain</w:instrText>
      </w:r>
      <w:r w:rsidR="00EC10D9">
        <w:rPr>
          <w:rFonts w:ascii="Cambria Math" w:hAnsi="Cambria Math" w:cs="Cambria Math"/>
        </w:rPr>
        <w:instrText>‐</w:instrText>
      </w:r>
      <w:r w:rsidR="00EC10D9">
        <w:instrText>specific skills as a result of the activities in which they participate throughout their development. We examine the domain</w:instrText>
      </w:r>
      <w:r w:rsidR="00EC10D9">
        <w:rPr>
          <w:rFonts w:ascii="Cambria Math" w:hAnsi="Cambria Math" w:cs="Cambria Math"/>
        </w:rPr>
        <w:instrText>‐</w:instrText>
      </w:r>
      <w:r w:rsidR="00EC10D9">
        <w:instrText xml:space="preserve">specific activities in which two groups of elite y...","archive_location":"world","container-title":"High Ability Studies","DOI":"10.1080/13598130902860721","language":"EN","license":"Copyright European Council for High Ability","note":"publisher: Routledge","source":"www.tandfonline.com","title":"The role of deliberate practice and play in career progression in sport: the early engagement hypothesis","title-short":"The role of deliberate practice and play in career progression in sport","URL":"https://www.tandfonline.com/doi/abs/10.1080/13598130902860721","author":[{"family":"Ford","given":"Paul R."},{"family":"Ward","given":"Paul"},{"family":"Hodges","given":"Nicola J."},{"family":"Williams","given":"A. Mark"}],"accessed":{"date-parts":[["2024",2,28]]},"issued":{"date-parts":[["2009",6,1]]},"citation-key":"fordRoleDeliberatePractice2009"}}],"schema":"https://github.com/citation-style-language/schema/raw/master/csl-citation.json"} </w:instrText>
      </w:r>
      <w:r w:rsidR="004E0359">
        <w:fldChar w:fldCharType="separate"/>
      </w:r>
      <w:r w:rsidR="004E0359" w:rsidRPr="004E0359">
        <w:rPr>
          <w:rFonts w:cs="Arial"/>
        </w:rPr>
        <w:t xml:space="preserve">Ford et al. </w:t>
      </w:r>
      <w:r w:rsidR="004E0359">
        <w:rPr>
          <w:rFonts w:cs="Arial"/>
        </w:rPr>
        <w:t>(</w:t>
      </w:r>
      <w:r w:rsidR="004E0359" w:rsidRPr="004E0359">
        <w:rPr>
          <w:rFonts w:cs="Arial"/>
        </w:rPr>
        <w:t>2009)</w:t>
      </w:r>
      <w:r w:rsidR="004E0359">
        <w:fldChar w:fldCharType="end"/>
      </w:r>
      <w:r w:rsidR="004E0359">
        <w:t xml:space="preserve"> obser</w:t>
      </w:r>
      <w:r w:rsidR="009F42C7">
        <w:t>ved</w:t>
      </w:r>
      <w:r w:rsidR="004E0359">
        <w:t xml:space="preserve"> soccer play </w:t>
      </w:r>
      <w:r w:rsidR="004E0359">
        <w:lastRenderedPageBreak/>
        <w:t>activities</w:t>
      </w:r>
      <w:r w:rsidR="00FE26C5">
        <w:t xml:space="preserve"> (not practice)</w:t>
      </w:r>
      <w:r w:rsidR="004E0359">
        <w:t xml:space="preserve"> </w:t>
      </w:r>
      <w:r w:rsidR="00FE26C5">
        <w:t>during childhood</w:t>
      </w:r>
      <w:r w:rsidR="004E0359">
        <w:t xml:space="preserve"> to differentiate between elite players who attained a professional status and those who did not. </w:t>
      </w:r>
      <w:r w:rsidR="0055302D">
        <w:t xml:space="preserve">Consequently, </w:t>
      </w:r>
      <w:r w:rsidR="004F10F0">
        <w:t xml:space="preserve">more research is necessary to better understand the relationship between practice volume and expertise in esports. </w:t>
      </w:r>
    </w:p>
    <w:p w14:paraId="4B557A52" w14:textId="4AC7CFF4" w:rsidR="006A44D3" w:rsidRPr="00DA1788" w:rsidRDefault="000F1960" w:rsidP="008A648D">
      <w:pPr>
        <w:pStyle w:val="Heading2"/>
      </w:pPr>
      <w:r w:rsidRPr="00DA1788">
        <w:t>Practice hours variability</w:t>
      </w:r>
    </w:p>
    <w:p w14:paraId="298EB5C1" w14:textId="5C8A1B77" w:rsidR="00A67668" w:rsidRDefault="00A67668" w:rsidP="00527BF0">
      <w:pPr>
        <w:ind w:firstLine="720"/>
      </w:pPr>
      <w:r>
        <w:t xml:space="preserve">A second observation was </w:t>
      </w:r>
      <w:r w:rsidR="00CF4F25">
        <w:t xml:space="preserve">that </w:t>
      </w:r>
      <w:r>
        <w:t xml:space="preserve">the Challenger players had less variability in the total daily practice </w:t>
      </w:r>
      <w:r w:rsidR="002A5B44">
        <w:t xml:space="preserve">hours. We hypothesise that this </w:t>
      </w:r>
      <w:r w:rsidR="0029326F">
        <w:t>may be</w:t>
      </w:r>
      <w:r w:rsidR="002A5B44">
        <w:t xml:space="preserve"> due to more effective </w:t>
      </w:r>
      <w:r w:rsidR="00D15BC9">
        <w:t>stress</w:t>
      </w:r>
      <w:r w:rsidR="0029326F">
        <w:t>-</w:t>
      </w:r>
      <w:r w:rsidR="002A5B44">
        <w:t xml:space="preserve">coping </w:t>
      </w:r>
      <w:r w:rsidR="00F037DA">
        <w:t xml:space="preserve">strategies, as </w:t>
      </w:r>
      <w:r w:rsidR="00E56D79">
        <w:t>previous research</w:t>
      </w:r>
      <w:r w:rsidR="00F037DA">
        <w:t xml:space="preserve"> has indicated that </w:t>
      </w:r>
      <w:r w:rsidR="00E56D79">
        <w:t xml:space="preserve">esports players frequently experience </w:t>
      </w:r>
      <w:r w:rsidR="00352BE6">
        <w:t>competitive stressors</w:t>
      </w:r>
      <w:r w:rsidR="006C12DE">
        <w:t xml:space="preserve"> </w:t>
      </w:r>
      <w:r w:rsidR="006C12DE">
        <w:fldChar w:fldCharType="begin"/>
      </w:r>
      <w:r w:rsidR="00EC10D9">
        <w:instrText xml:space="preserve"> ADDIN ZOTERO_ITEM CSL_CITATION {"citationID":"z4S0jc5e","properties":{"formattedCitation":"(Leis et al., n.d.; Poulus et al., 2022)","plainCitation":"(Leis et al., n.d.; Poulus et al., 2022)","dontUpdate":true,"noteIndex":0},"citationItems":[{"id":796,"uris":["http://zotero.org/users/13125511/items/WAIBEVJZ"],"itemData":{"id":796,"type":"article-journal","abstract":"In this systematic review, we provide an overview of stressors and coping strategies in esports, emphasizing the goal of informing applied practice and guiding future research. Guided by the PRISMA guidelines and employing the SPIDER framework, we synthesize findings from 19 studies. Performance stressors such as defeat and performance pressure (e.g. pressure to win) were prominently observed, along with team, social, organizational, and personal stressors. Coping strategies, aligned with Nicholls et al. ((2016). The development of a new sport-specific classification of coping and a meta-analysis of the relationship between different coping strategies and moderators on sporting outcomes. Frontiers in Psychology, 7(11), 1–14), demonstrate internal regulation was the most frequently reported, followed by mastery coping, while goal withdrawal strategies were less frequently reported. Comparing esports to traditional sports highlights the role of social stressors such as social media and public perceptionin esports. However, personal stressors remain relatively unexplored. The review also identifies research gaps in stressor appraisal and communal coping strategies. Future research could delve into personal stressors, considering a wide array of psychological factors, and employing dynamic methodologies. Practical implications revolve around tailored interventions, promoting open communication, mastery coping techniques, and holistic well-being strategies. This review provides a broader understanding of esports stressors and coping strategies, offering a starting point for targeted interventions aimed at enhancing performance and well-being in the distinctive competitive landscape of esports.","container-title":"International Review of Sport and Exercise Psychology","DOI":"10.1080/1750984X.2024.2386528","ISSN":"1750-984X","issue":"0","note":"publisher: Routledge\n_eprint: https://doi.org/10.1080/1750984X.2024.2386528","page":"1-31","source":"Taylor and Francis+NEJM","title":"Stressors and coping strategies in esports: a systematic review","title-short":"Stressors and coping strategies in esports","volume":"0","author":[{"family":"Leis","given":"Oliver"},{"family":"Sharpe","given":"Benjamin T."},{"family":"Pelikan","given":"Vincent"},{"family":"Fritsch","given":"Julian"},{"family":"Nicholls","given":"Adam R."},{"family":"Poulus","given":"Dylan"}],"issued":{"date-parts":[["2024"]]},"citation-key":"leisStressorsCopingStrategies2024"}},{"id":584,"uris":["http://zotero.org/users/13125511/items/U53YGCHW"],"itemData":{"id":584,"type":"article-journal","abstract":"Objective\nThe current study aimed to longitudinally examine the stressors, stress appraisal, coping, and coping effectiveness experienced by elite esports athletes.\nDesign\nSix elite male League of Legends (LoL) athletes, competing in the Oceanic Challenger Series (OCS), completed diaries over the 2020 competitive season (87 days).\nMethod\nAthletes completed weekly diaries after three events: solo training, team training, and competitive matches. Each diary collected data on the stressors experienced, stressor intensity and threat/challenge perception (appraisal), coping strategies used, and perceived coping effectiveness.\nResults\nGeneral performance, outcome, critical moment performance, and teammate mistakes accounted for 55% of the stressors reported. More stressors were reported in competitive diaries than in training diaries. Competitive stressors were rated as being more intense than training stressors. There were no differences in overall challenge and threat perception, but performance stressors were more likely to be perceived as a challenge, and teammate stressors were more likely to be perceived as a threat. Problem-focused coping (PFC) was the most frequently employed coping strategy. PFC and emotion-focused coping (EFC) strategies were perceived as more effective at reducing stress than avoidance coping (AC).\nConclusions\nElite LoL athletes experienced a small number of reoccurring stressors over an 87-day competitive period. Athletes reported more stressors around competitive matches and perceived competitive stressors as more intense than team and solo training stressors. Similarly to traditional sports athletes, PFC strategies were the most frequently employed and, PFC and EFC were rated as being more effective than AC.","container-title":"Psychology of Sport and Exercise","DOI":"10.1016/j.psychsport.2021.102093","ISSN":"1469-0292","journalAbbreviation":"Psychology of Sport and Exercise","page":"102093","source":"ScienceDirect","title":"Longitudinal analysis of stressors, stress, coping and coping effectiveness in elite esports athletes","volume":"60","author":[{"family":"Poulus","given":"Dylan R."},{"family":"Coulter","given":"Tristan J."},{"family":"Trotter","given":"Michael G."},{"family":"Polman","given":"Remco"}],"issued":{"date-parts":[["2022",5,1]]},"citation-key":"poulusLongitudinalAnalysisStressors2022"}}],"schema":"https://github.com/citation-style-language/schema/raw/master/csl-citation.json"} </w:instrText>
      </w:r>
      <w:r w:rsidR="006C12DE">
        <w:fldChar w:fldCharType="separate"/>
      </w:r>
      <w:r w:rsidR="006C12DE" w:rsidRPr="007C269F">
        <w:rPr>
          <w:rFonts w:cs="Arial"/>
        </w:rPr>
        <w:t xml:space="preserve">(Leis et al., </w:t>
      </w:r>
      <w:r w:rsidR="006C12DE">
        <w:rPr>
          <w:rFonts w:cs="Arial"/>
        </w:rPr>
        <w:t>2024</w:t>
      </w:r>
      <w:r w:rsidR="006C12DE" w:rsidRPr="007C269F">
        <w:rPr>
          <w:rFonts w:cs="Arial"/>
        </w:rPr>
        <w:t>; Poulus et al., 2022)</w:t>
      </w:r>
      <w:r w:rsidR="006C12DE">
        <w:fldChar w:fldCharType="end"/>
      </w:r>
      <w:r w:rsidR="006C12DE">
        <w:t xml:space="preserve">. </w:t>
      </w:r>
      <w:r w:rsidR="005D4CA3">
        <w:t>Higher</w:t>
      </w:r>
      <w:r w:rsidR="00DE7D6E">
        <w:t>-</w:t>
      </w:r>
      <w:r w:rsidR="005D4CA3">
        <w:t>skilled</w:t>
      </w:r>
      <w:r w:rsidR="00CF4F25">
        <w:t xml:space="preserve"> players</w:t>
      </w:r>
      <w:r w:rsidR="005D4CA3">
        <w:t xml:space="preserve"> in our sample</w:t>
      </w:r>
      <w:r w:rsidR="00CF4F25">
        <w:t xml:space="preserve"> may have</w:t>
      </w:r>
      <w:r w:rsidR="00355691">
        <w:t xml:space="preserve"> developed more adaptive coping strategies</w:t>
      </w:r>
      <w:r w:rsidR="00CF4F25">
        <w:t>,</w:t>
      </w:r>
      <w:r w:rsidR="00352BE6">
        <w:t xml:space="preserve"> allowing them to be less affected by negative emotions (e.g., anger and frustration) that could lead to disengagement from the game.</w:t>
      </w:r>
      <w:r w:rsidR="00DB6A01">
        <w:t xml:space="preserve"> For example,</w:t>
      </w:r>
      <w:r w:rsidR="008A648D">
        <w:t xml:space="preserve"> </w:t>
      </w:r>
      <w:r w:rsidR="008A648D">
        <w:fldChar w:fldCharType="begin"/>
      </w:r>
      <w:r w:rsidR="00EC10D9">
        <w:instrText xml:space="preserve"> ADDIN ZOTERO_ITEM CSL_CITATION {"citationID":"zTHsOoNh","properties":{"formattedCitation":"(D. Poulus et al., 2020)","plainCitation":"(D. Poulus et al., 2020)","dontUpdate":true,"noteIndex":0},"citationItems":[{"id":538,"uris":["http://zotero.org/users/13125511/items/5P623IGQ"],"itemData":{"id":538,"type":"article-journal","abstract":"&lt;p&gt;This study explored stress and coping in electronic sports (esports) athletes and the influence of mental toughness (MT), as defined by two prominent conceptualizations: the 4/6Cs and Mental Toughness Index (MTI) frameworks. Participants were 316 esports athletes, ranked in the top 40% of one of five major esports: Defense of the Ancients 2, League of Legends (LoL), Counter Strike: Global Offensive, Overwatch and Rainbow Six: Siege. Participants completed the MTI, Mental Toughness Questionnaire 6 (MTQ6), Stress Appraisal Measure, and Brief COPE inventory. Results showed that MT (via both MT frameworks) was associated with perceived control, and MTQ6 subscales were associated with stress intensity. Mental toughness (both frameworks) was associated with the selection of more problem-focused and emotion-focused coping strategies and less avoidance coping strategies. The results indicate there is some overlap between the MT and stress-coping process in high-performing traditional sports and competitive esports athletes. These results suggest that esports athletes could benefit from sports psychology interventions designed for traditional sports athletes. Finally, the MTQ6 and MTI had low shared variance (20%), suggesting that the two questionnaires appear to measure different aspects of MT.&lt;/p&gt;","container-title":"Frontiers in Psychology","DOI":"10.3389/fpsyg.2020.00628","ISSN":"1664-1078","journalAbbreviation":"Front. Psychol.","language":"English","note":"publisher: Frontiers","source":"Frontiers","title":"Stress and Coping in Esports and the Influence of Mental Toughness","URL":"https://www.frontiersin.org/journals/psychology/articles/10.3389/fpsyg.2020.00628/full","volume":"11","author":[{"family":"Poulus","given":"Dylan"},{"family":"Coulter","given":"Tristan J."},{"family":"Trotter","given":"Michael G."},{"family":"Polman","given":"Remco"}],"accessed":{"date-parts":[["2024",6,24]]},"issued":{"date-parts":[["2020",4,23]]},"citation-key":"poulusStressCopingEsports2020"}}],"schema":"https://github.com/citation-style-language/schema/raw/master/csl-citation.json"} </w:instrText>
      </w:r>
      <w:r w:rsidR="008A648D">
        <w:fldChar w:fldCharType="separate"/>
      </w:r>
      <w:r w:rsidR="008A648D" w:rsidRPr="008A648D">
        <w:rPr>
          <w:rFonts w:cs="Arial"/>
        </w:rPr>
        <w:t xml:space="preserve">Poulus et al. </w:t>
      </w:r>
      <w:r w:rsidR="00677E37">
        <w:rPr>
          <w:rFonts w:cs="Arial"/>
        </w:rPr>
        <w:t>(</w:t>
      </w:r>
      <w:r w:rsidR="008A648D" w:rsidRPr="008A648D">
        <w:rPr>
          <w:rFonts w:cs="Arial"/>
        </w:rPr>
        <w:t>2020)</w:t>
      </w:r>
      <w:r w:rsidR="008A648D">
        <w:fldChar w:fldCharType="end"/>
      </w:r>
      <w:r w:rsidR="00A33127">
        <w:t xml:space="preserve"> </w:t>
      </w:r>
      <w:r w:rsidR="009E2FB3">
        <w:t xml:space="preserve">found that higher in-game ranks </w:t>
      </w:r>
      <w:r w:rsidR="002A2ACB">
        <w:t xml:space="preserve">were associated with higher </w:t>
      </w:r>
      <w:r w:rsidR="008E5315">
        <w:t>mental toughness levels and higher</w:t>
      </w:r>
      <w:r w:rsidR="002A2ACB">
        <w:t xml:space="preserve"> mental toughness </w:t>
      </w:r>
      <w:r w:rsidR="008E5315">
        <w:t>levels were</w:t>
      </w:r>
      <w:r w:rsidR="002A2ACB">
        <w:t xml:space="preserve"> associated with more adaptive use of stress-coping strategies. </w:t>
      </w:r>
      <w:r w:rsidR="00352BE6">
        <w:t xml:space="preserve">It </w:t>
      </w:r>
      <w:r w:rsidR="001C326C">
        <w:t xml:space="preserve">is </w:t>
      </w:r>
      <w:r w:rsidR="00470882">
        <w:t xml:space="preserve">also possible that the </w:t>
      </w:r>
      <w:r w:rsidR="00DE7D6E">
        <w:t>higher-skilled</w:t>
      </w:r>
      <w:r w:rsidR="005E1991">
        <w:t xml:space="preserve"> players</w:t>
      </w:r>
      <w:r w:rsidR="00DE7D6E">
        <w:t xml:space="preserve">, such as those in the Challenger tier, were </w:t>
      </w:r>
      <w:r w:rsidR="00470882">
        <w:t>members of professional organisations with access to psychological support and training</w:t>
      </w:r>
      <w:r w:rsidR="00044F6B">
        <w:t xml:space="preserve">, as it </w:t>
      </w:r>
      <w:r w:rsidR="0034113D">
        <w:t>is common for</w:t>
      </w:r>
      <w:r w:rsidR="00CC4B36">
        <w:t xml:space="preserve"> </w:t>
      </w:r>
      <w:r w:rsidR="00044F6B">
        <w:t>these individuals</w:t>
      </w:r>
      <w:r w:rsidR="0034113D">
        <w:t xml:space="preserve"> to use ranked practice to complement their team </w:t>
      </w:r>
      <w:r w:rsidR="008C1F68">
        <w:t xml:space="preserve">training </w:t>
      </w:r>
      <w:r w:rsidR="00527BF0">
        <w:fldChar w:fldCharType="begin"/>
      </w:r>
      <w:r w:rsidR="00EC10D9">
        <w:instrText xml:space="preserve"> ADDIN ZOTERO_ITEM CSL_CITATION {"citationID":"MseXarvx","properties":{"formattedCitation":"(D. Poulus et al., 2022; D. R. Poulus et al., 2022b)","plainCitation":"(D. Poulus et al., 2022; D. R. Poulus et al., 2022b)","dontUpdate":true,"noteIndex":0},"citationItems":[{"id":540,"uris":["http://zotero.org/users/13125511/items/K88WD2LE"],"itemData":{"id":540,"type":"article-journal","abstract":"Aim: This study explored the sources of stress experienced by competitive esports athletes.&lt;br/&gt;Methods and results: In this cross-sectional survey design, participants were 270 esports athletes ranked in the top 40% (determined by in-game rank) of one of five major esports: Rainbow Six: Siege, Overwatch, Counter-Strike: Global Offensive, League of Legends, and Defense of the Ancients 2. Participants reported a stressor they had recently encountered as part of a stress appraisal measure (1). 11 sources of stress reported by traditional sports athletes were reported by these esports athletes (2). Furthermore, four novel esports-specific stressors were identified: Technical issues, balancing life commitments, anti-social behaviour, and critical moment performance. Similar to traditional sports, teammate stressors (53.7%) and performance stressors (26.9%) were reported by 79.2% of participants. Finally, esports athletes in the 99 – 100th percentile reported more performance-related stressors than teammate stressors, whereas esports athletes in the 60-99th percentile reported more teammate-related stressors than performance stressors.&lt;br/&gt;Conclusions: Results from this study suggest that a small number of stressors account for the majority of reported stressors experienced by esports athletes. Esports-specific stressors emerged from the data, including technical issues, anti-social behaviour, balancing life commitments, and critical moment performance. Finally, elite esports athletes were more likely to report performance stressors, whereas sub-elite (60-99th percentile) esport athletes were more likely to report teammate-related behaviours as stressors.","container-title":"International Journal of Esports","ISSN":"2634-1069","issue":"1","language":"en","license":"free_to_read","note":"number: 1","page":"Article number: 73","source":"eprints.qut.edu.au","title":"Perceived Stressors Experienced by Competitive Esports Athletes","volume":"1","author":[{"family":"Poulus","given":"Dylan"},{"family":"Coulter","given":"Tristan"},{"family":"Trotter","given":"Michael"},{"family":"Polman","given":"Remco"}],"issued":{"date-parts":[["2022"]]},"citation-key":"poulusPerceivedStressorsExperienced2022"}},{"id":584,"uris":["http://zotero.org/users/13125511/items/U53YGCHW"],"itemData":{"id":584,"type":"article-journal","abstract":"Objective\nThe current study aimed to longitudinally examine the stressors, stress appraisal, coping, and coping effectiveness experienced by elite esports athletes.\nDesign\nSix elite male League of Legends (LoL) athletes, competing in the Oceanic Challenger Series (OCS), completed diaries over the 2020 competitive season (87 days).\nMethod\nAthletes completed weekly diaries after three events: solo training, team training, and competitive matches. Each diary collected data on the stressors experienced, stressor intensity and threat/challenge perception (appraisal), coping strategies used, and perceived coping effectiveness.\nResults\nGeneral performance, outcome, critical moment performance, and teammate mistakes accounted for 55% of the stressors reported. More stressors were reported in competitive diaries than in training diaries. Competitive stressors were rated as being more intense than training stressors. There were no differences in overall challenge and threat perception, but performance stressors were more likely to be perceived as a challenge, and teammate stressors were more likely to be perceived as a threat. Problem-focused coping (PFC) was the most frequently employed coping strategy. PFC and emotion-focused coping (EFC) strategies were perceived as more effective at reducing stress than avoidance coping (AC).\nConclusions\nElite LoL athletes experienced a small number of reoccurring stressors over an 87-day competitive period. Athletes reported more stressors around competitive matches and perceived competitive stressors as more intense than team and solo training stressors. Similarly to traditional sports athletes, PFC strategies were the most frequently employed and, PFC and EFC were rated as being more effective than AC.","container-title":"Psychology of Sport and Exercise","DOI":"10.1016/j.psychsport.2021.102093","ISSN":"1469-0292","journalAbbreviation":"Psychology of Sport and Exercise","page":"102093","source":"ScienceDirect","title":"Longitudinal analysis of stressors, stress, coping and coping effectiveness in elite esports athletes","volume":"60","author":[{"family":"Poulus","given":"Dylan R."},{"family":"Coulter","given":"Tristan J."},{"family":"Trotter","given":"Michael G."},{"family":"Polman","given":"Remco"}],"issued":{"date-parts":[["2022",5,1]]},"citation-key":"poulusLongitudinalAnalysisStressors2022"}}],"schema":"https://github.com/citation-style-language/schema/raw/master/csl-citation.json"} </w:instrText>
      </w:r>
      <w:r w:rsidR="00527BF0">
        <w:fldChar w:fldCharType="separate"/>
      </w:r>
      <w:r w:rsidR="00527BF0" w:rsidRPr="00527BF0">
        <w:rPr>
          <w:rFonts w:cs="Arial"/>
        </w:rPr>
        <w:t>(Poulus et al., 2022</w:t>
      </w:r>
      <w:r w:rsidR="00527BF0">
        <w:rPr>
          <w:rFonts w:cs="Arial"/>
        </w:rPr>
        <w:t>a</w:t>
      </w:r>
      <w:r w:rsidR="00527BF0" w:rsidRPr="00527BF0">
        <w:rPr>
          <w:rFonts w:cs="Arial"/>
        </w:rPr>
        <w:t>;  Poulus et al., 2022b)</w:t>
      </w:r>
      <w:r w:rsidR="00527BF0">
        <w:fldChar w:fldCharType="end"/>
      </w:r>
      <w:r w:rsidR="00527BF0">
        <w:t xml:space="preserve">. </w:t>
      </w:r>
      <w:r w:rsidR="008C338C">
        <w:t xml:space="preserve">Finally, it might be that </w:t>
      </w:r>
      <w:r w:rsidR="00271B2A">
        <w:t xml:space="preserve">Challenger players have better communication skills, thus overcoming some common </w:t>
      </w:r>
      <w:r w:rsidR="00223BA3">
        <w:t>team-related</w:t>
      </w:r>
      <w:r w:rsidR="00271B2A">
        <w:t xml:space="preserve"> stressors, such as communication issues</w:t>
      </w:r>
      <w:r w:rsidR="00223BA3">
        <w:t>, unfavourable plays, and intra-team conflict</w:t>
      </w:r>
      <w:r w:rsidR="00527BF0">
        <w:t xml:space="preserve"> </w:t>
      </w:r>
      <w:r w:rsidR="00527BF0">
        <w:fldChar w:fldCharType="begin"/>
      </w:r>
      <w:r w:rsidR="00EC10D9">
        <w:instrText xml:space="preserve"> ADDIN ZOTERO_ITEM CSL_CITATION {"citationID":"ziJ2ZdWG","properties":{"formattedCitation":"(Leis et al., 2024)","plainCitation":"(Leis et al., 2024)","noteIndex":0},"citationItems":[{"id":796,"uris":["http://zotero.org/users/13125511/items/WAIBEVJZ"],"itemData":{"id":796,"type":"article-journal","abstract":"In this systematic review, we provide an overview of stressors and coping strategies in esports, emphasizing the goal of informing applied practice and guiding future research. Guided by the PRISMA guidelines and employing the SPIDER framework, we synthesize findings from 19 studies. Performance stressors such as defeat and performance pressure (e.g. pressure to win) were prominently observed, along with team, social, organizational, and personal stressors. Coping strategies, aligned with Nicholls et al. ((2016). The development of a new sport-specific classification of coping and a meta-analysis of the relationship between different coping strategies and moderators on sporting outcomes. Frontiers in Psychology, 7(11), 1–14), demonstrate internal regulation was the most frequently reported, followed by mastery coping, while goal withdrawal strategies were less frequently reported. Comparing esports to traditional sports highlights the role of social stressors such as social media and public perceptionin esports. However, personal stressors remain relatively unexplored. The review also identifies research gaps in stressor appraisal and communal coping strategies. Future research could delve into personal stressors, considering a wide array of psychological factors, and employing dynamic methodologies. Practical implications revolve around tailored interventions, promoting open communication, mastery coping techniques, and holistic well-being strategies. This review provides a broader understanding of esports stressors and coping strategies, offering a starting point for targeted interventions aimed at enhancing performance and well-being in the distinctive competitive landscape of esports.","container-title":"International Review of Sport and Exercise Psychology","DOI":"10.1080/1750984X.2024.2386528","ISSN":"1750-984X","issue":"0","note":"publisher: Routledge\n_eprint: https://doi.org/10.1080/1750984X.2024.2386528","page":"1-31","source":"Taylor and Francis+NEJM","title":"Stressors and coping strategies in esports: a systematic review","title-short":"Stressors and coping strategies in esports","volume":"0","author":[{"family":"Leis","given":"Oliver"},{"family":"Sharpe","given":"Benjamin T."},{"family":"Pelikan","given":"Vincent"},{"family":"Fritsch","given":"Julian"},{"family":"Nicholls","given":"Adam R."},{"family":"Poulus","given":"Dylan"}],"issued":{"date-parts":[["2024"]]},"citation-key":"leisStressorsCopingStrategies2024"}}],"schema":"https://github.com/citation-style-language/schema/raw/master/csl-citation.json"} </w:instrText>
      </w:r>
      <w:r w:rsidR="00527BF0">
        <w:fldChar w:fldCharType="separate"/>
      </w:r>
      <w:r w:rsidR="004F0F90" w:rsidRPr="004F0F90">
        <w:rPr>
          <w:rFonts w:cs="Arial"/>
        </w:rPr>
        <w:t>(Leis et al., 2024)</w:t>
      </w:r>
      <w:r w:rsidR="00527BF0">
        <w:fldChar w:fldCharType="end"/>
      </w:r>
      <w:r w:rsidR="00223BA3">
        <w:t xml:space="preserve">. Future research could </w:t>
      </w:r>
      <w:r w:rsidR="0064449E">
        <w:t xml:space="preserve">build </w:t>
      </w:r>
      <w:r w:rsidR="000D03CC">
        <w:t xml:space="preserve">on our </w:t>
      </w:r>
      <w:r w:rsidR="0064449E">
        <w:t>findings by examining the factors rel</w:t>
      </w:r>
      <w:r w:rsidR="000D03CC">
        <w:t>ated to disengagement patterns.</w:t>
      </w:r>
      <w:r w:rsidR="00EF655A">
        <w:t xml:space="preserve"> </w:t>
      </w:r>
    </w:p>
    <w:p w14:paraId="25531A0A" w14:textId="5E150E8B" w:rsidR="00890ED4" w:rsidRPr="00DA1788" w:rsidRDefault="000F1960" w:rsidP="000F1960">
      <w:pPr>
        <w:pStyle w:val="Heading2"/>
      </w:pPr>
      <w:r w:rsidRPr="00DA1788">
        <w:t>Practice behaviour and player pool size</w:t>
      </w:r>
    </w:p>
    <w:p w14:paraId="03E937FA" w14:textId="4B904D71" w:rsidR="008F3FCD" w:rsidRDefault="00B3121E" w:rsidP="00CC4B36">
      <w:pPr>
        <w:ind w:firstLine="720"/>
      </w:pPr>
      <w:r>
        <w:t xml:space="preserve">Our </w:t>
      </w:r>
      <w:r w:rsidR="00C22471">
        <w:t>third</w:t>
      </w:r>
      <w:r>
        <w:t xml:space="preserve"> hypothesis is that there is an interrelationship between player pool size, competitiveness, and practice behaviours. </w:t>
      </w:r>
      <w:r w:rsidR="00063A03">
        <w:t xml:space="preserve">Within our sample, players from relatively large servers </w:t>
      </w:r>
      <w:r w:rsidR="001354AF">
        <w:t xml:space="preserve">had more daily practice hours </w:t>
      </w:r>
      <w:r w:rsidR="001F2EC6">
        <w:t>than</w:t>
      </w:r>
      <w:r w:rsidR="001354AF">
        <w:t xml:space="preserve"> those on relatively small servers.</w:t>
      </w:r>
      <w:r w:rsidR="001F2EC6">
        <w:t xml:space="preserve"> </w:t>
      </w:r>
      <w:r w:rsidR="00966DA8">
        <w:t xml:space="preserve">We would expect </w:t>
      </w:r>
      <w:r w:rsidR="00FC56D4">
        <w:t>differences in practice behaviours based on server size, as larger servers have more</w:t>
      </w:r>
      <w:r w:rsidR="005A21F1">
        <w:t xml:space="preserve"> players contesting ladder positioning within a tier. </w:t>
      </w:r>
      <w:r w:rsidR="001D3896">
        <w:t xml:space="preserve">Hence, players will likely need more </w:t>
      </w:r>
      <w:r w:rsidR="00CF0E3C">
        <w:t xml:space="preserve">high-quality practice </w:t>
      </w:r>
      <w:r w:rsidR="001D3896">
        <w:t>to outperform their peers</w:t>
      </w:r>
      <w:r w:rsidR="00483567">
        <w:t>, increasing the competitiveness of the server. It could also be th</w:t>
      </w:r>
      <w:r w:rsidR="00DC7A00">
        <w:t>at</w:t>
      </w:r>
      <w:r w:rsidR="00483567">
        <w:t xml:space="preserve"> relatively large servers are </w:t>
      </w:r>
      <w:r w:rsidR="00CF3A26">
        <w:t>situated in major regions</w:t>
      </w:r>
      <w:r w:rsidR="00FC56D4">
        <w:t xml:space="preserve"> with an established </w:t>
      </w:r>
      <w:r w:rsidR="00FC56D4">
        <w:lastRenderedPageBreak/>
        <w:t>professional environment, better financial and logistical infrastructure,</w:t>
      </w:r>
      <w:r w:rsidR="00C9587F">
        <w:t xml:space="preserve"> and </w:t>
      </w:r>
      <w:r w:rsidR="00FC56D4">
        <w:t>higher-quality</w:t>
      </w:r>
      <w:r w:rsidR="00DC7A00">
        <w:t xml:space="preserve"> coaching</w:t>
      </w:r>
      <w:r w:rsidR="00C9587F">
        <w:t xml:space="preserve"> and support services.</w:t>
      </w:r>
      <w:r w:rsidR="00BF1FAC">
        <w:t xml:space="preserve"> </w:t>
      </w:r>
      <w:r w:rsidR="002C5134">
        <w:t>These influences would trickle down into ranked match play</w:t>
      </w:r>
      <w:r w:rsidR="00DC6315">
        <w:t xml:space="preserve"> as the professional players incorporate</w:t>
      </w:r>
      <w:r w:rsidR="00901AE5">
        <w:t xml:space="preserve"> the game mode into</w:t>
      </w:r>
      <w:r w:rsidR="00DC6315">
        <w:t xml:space="preserve"> </w:t>
      </w:r>
      <w:r w:rsidR="00901AE5">
        <w:t xml:space="preserve">their </w:t>
      </w:r>
      <w:r w:rsidR="00DC6315">
        <w:t xml:space="preserve">practice schedules. </w:t>
      </w:r>
      <w:r w:rsidR="000C4AB3">
        <w:t xml:space="preserve">In other words, more investment into the development of players would make them more skilful, meaning that </w:t>
      </w:r>
      <w:r w:rsidR="00F70B04">
        <w:t xml:space="preserve">amateur players participating in ranked matches have tougher competition, thus improving their own skill levels. Future research </w:t>
      </w:r>
      <w:r w:rsidR="0023765F">
        <w:t xml:space="preserve">could relate the number of players within a tier to the performance required </w:t>
      </w:r>
      <w:r w:rsidR="00CC4B36">
        <w:t xml:space="preserve">to </w:t>
      </w:r>
      <w:r w:rsidR="00DA1788">
        <w:t>'</w:t>
      </w:r>
      <w:r w:rsidR="00CC4B36">
        <w:t>climb</w:t>
      </w:r>
      <w:r w:rsidR="00DA1788">
        <w:t>'</w:t>
      </w:r>
      <w:r w:rsidR="00CC4B36">
        <w:t xml:space="preserve"> the competitive ladder. </w:t>
      </w:r>
    </w:p>
    <w:p w14:paraId="3E1370B8" w14:textId="6D9310D2" w:rsidR="00397AAA" w:rsidRPr="00DA1788" w:rsidRDefault="000F1960" w:rsidP="000F1960">
      <w:pPr>
        <w:pStyle w:val="Heading2"/>
      </w:pPr>
      <w:r w:rsidRPr="00DA1788">
        <w:t>Patterns in practice behaviour</w:t>
      </w:r>
      <w:r w:rsidR="00397AAA" w:rsidRPr="00DA1788">
        <w:t xml:space="preserve"> </w:t>
      </w:r>
    </w:p>
    <w:p w14:paraId="36772988" w14:textId="4B0D055E" w:rsidR="00BE6CDD" w:rsidRDefault="00C22471" w:rsidP="00BD47B7">
      <w:pPr>
        <w:ind w:firstLine="720"/>
      </w:pPr>
      <w:r>
        <w:t>Our final hypothesis is that there are</w:t>
      </w:r>
      <w:r w:rsidR="004C4D0D">
        <w:t xml:space="preserve"> distinct patterns of practice that promote sustained participation and prolonged disengagement</w:t>
      </w:r>
      <w:r w:rsidR="00C51351">
        <w:t xml:space="preserve">; however, these might not be related to expertise, as there </w:t>
      </w:r>
      <w:r w:rsidR="007F3AD8">
        <w:t>was</w:t>
      </w:r>
      <w:r w:rsidR="00C51351">
        <w:t xml:space="preserve"> considerable variability in the relative distribution of each cluster. We suggest that characteristics of Cluster 2 might represent the healthiest engagement with League of </w:t>
      </w:r>
      <w:r w:rsidR="00C21CF6">
        <w:t>Legends solo/due ranked practice</w:t>
      </w:r>
      <w:r w:rsidR="00C51351">
        <w:t xml:space="preserve"> because it was characterised by the most consistent participation </w:t>
      </w:r>
      <w:r w:rsidR="00D166ED">
        <w:t>with limited blocks of excessive hours</w:t>
      </w:r>
      <w:r w:rsidR="00C51351">
        <w:t xml:space="preserve">. It also may not compromise performance (albeit this was not assessed), with nearly half of Korean challenger players displaying this pattern. </w:t>
      </w:r>
      <w:r w:rsidR="00D166ED">
        <w:t xml:space="preserve">As we have previously noted, Korea has historically been one of </w:t>
      </w:r>
      <w:r w:rsidR="00B84A34">
        <w:t>the most successful regions in the professional scene</w:t>
      </w:r>
      <w:r w:rsidR="00C51351">
        <w:t xml:space="preserve">. In contrast, there were two </w:t>
      </w:r>
      <w:r w:rsidR="00B84A34">
        <w:t xml:space="preserve">types of practice behaviour </w:t>
      </w:r>
      <w:r w:rsidR="00C51351">
        <w:t xml:space="preserve">(i.e. Cluster 1 and 3) that </w:t>
      </w:r>
      <w:r w:rsidR="00B84A34">
        <w:t>might</w:t>
      </w:r>
      <w:r w:rsidR="00C51351">
        <w:t xml:space="preserve"> lead to negative outcomes. </w:t>
      </w:r>
      <w:r w:rsidR="00BE6CDD">
        <w:t xml:space="preserve">Burnout might be most likely in players </w:t>
      </w:r>
      <w:r w:rsidR="00732FCC">
        <w:t>who</w:t>
      </w:r>
      <w:r w:rsidR="00BE6CDD">
        <w:t xml:space="preserve"> display the practice patterns of Cluster 1, with previous research highlighting a relationship between higher volumes of practice and burnout dimensions</w:t>
      </w:r>
      <w:r w:rsidR="00F24B87">
        <w:t xml:space="preserve"> </w:t>
      </w:r>
      <w:r w:rsidR="00F24B87">
        <w:fldChar w:fldCharType="begin"/>
      </w:r>
      <w:r w:rsidR="00EC10D9">
        <w:instrText xml:space="preserve"> ADDIN ZOTERO_ITEM CSL_CITATION {"citationID":"LN5ltN2V","properties":{"formattedCitation":"(D. R. Poulus, Sargeant, et al., 2024a, 2024b)","plainCitation":"(D. R. Poulus, Sargeant, et al., 2024a, 2024b)","dontUpdate":true,"noteIndex":0},"citationItems":[{"id":922,"uris":["http://zotero.org/users/13125511/items/5PE4F7AV"],"itemData":{"id":922,"type":"article-journal","abstract":"The present study investigated burnout among esports players and its association with mental toughness and resilience. Esports players (N = 453; Mage = 23.0, SD = 4.18; in the top 40% of in-game rank) from seven team-based esports completed the Athlete Burnout Scale (ABO-S), Mental Toughness Questionnaire 18 (MTQ-18), and the Connor-Davidson Resilience Scale (CD-RISC-10). Latent profile analysis identified three distinct burnout profiles: “low burnout risk” (LBR; 33.8%), “medium burnout risk” (MBR; 28.0%), and “high burnout risk” (HBR; 38.3%). Low burnout profiles were associated with higher mental toughness and resilience. The LBR profile was characterized by low levels of reduced accomplishment (RA), physical exhaustion (PE), and negative feelings (NF), while [MBR and HBR reported similar PE and NF scores but] differed in RA, with HBR showing the highest RA and total burnout. This study is the first to show distinct burnout profiles among esports players, indicating a significant prevalence of burnout symptoms. This should be monitored by both players and support staff (e.g. club managers, programme managers, and high-performance support staff). Additionally, mental toughness and resilience appear to play a protective role against burnout.","container-title":"Journal of Sports Sciences","DOI":"10.1080/02640414.2024.2405794","ISSN":"0264-0414","issue":"0","note":"publisher: Routledge\n_eprint: https://doi.org/10.1080/02640414.2024.2405794\nPMID: 39306706","page":"1-10","source":"Taylor and Francis+NEJM","title":"Burnout profiles among esports players: Associations with mental toughness and resilience","title-short":"Burnout profiles among esports players","volume":"0","author":[{"family":"Poulus","given":"Dylan R"},{"family":"Sargeant","given":"Jack"},{"family":"Zarate","given":"Daniel"},{"family":"Griffiths","given":"Mark D."},{"family":"Stavropoulos","given":"Vasileios"}],"issued":{"date-parts":[["2024"]]},"citation-key":"poulusBurnoutProfilesEsports2024"}},{"id":921,"uris":["http://zotero.org/users/13125511/items/AR7E5KAJ"],"itemData":{"id":921,"type":"article-journal","abstract":"Burnout among esports players is a serious issue affecting competitive and professional players. The present study investigated the relationship between resilience, coping, and burnout among esports players using network analysis. Esports players (N = 453; Mage = 23.0 years, SD = 4.18; in the top 40% of in-game rank) who competed in one of seven popular team-based esports completed the Connor-Davidson Resilience Scale (CD-RISC-10), Coping Functions Questionnaire (CFQ; assessing problem-focused, emotion-focused, and avoidance coping), and Athlete Burnout Scale (ABO-S; assessing a reduced sense of accomplishment, physical exhaustion, and negative feelings towards esport). Responses were assessed with Least Absolute Shrinkage and Selection Operator regularised partial correlations (EBICglasso). Findings showed a distinct network of resilience factors, coping skills, and symptoms of burnout. More specifically, resilience factors were negatively associated with symptoms of burnout and positively associated with problem-focused, emotion-focused, and avoidance coping. Problem-focused coping had a strong expected influence on the network and was positively associated with multiple resilience factors. Moreover, avoidance coping had a strong influence on the network but was positively associated with multiple symptoms of burnout. Finally, a reduced sense of accomplishment (burnout) was negatively associated with multiple resilience factors and positively associated with avoidance coping. The combined results of the present study suggest that resilience and coping are important factors for understanding burnout among esports players.","container-title":"Computers in Human Behavior","DOI":"10.1016/j.chb.2024.108139","ISSN":"0747-5632","journalAbbreviation":"Computers in Human Behavior","page":"108139","source":"ScienceDirect","title":"Burnout, resilience, and coping among esports players: A network analysis approach","title-short":"Burnout, resilience, and coping among esports players","volume":"153","author":[{"family":"Poulus","given":"Dylan R."},{"family":"Sargeant","given":"Jack"},{"family":"Zarate","given":"Daniel"},{"family":"Griffiths","given":"Mark D."},{"family":"Stavropoulos","given":"Vasileios"}],"issued":{"date-parts":[["2024",4,1]]},"citation-key":"poulusBurnoutResilienceCoping2024"}}],"schema":"https://github.com/citation-style-language/schema/raw/master/csl-citation.json"} </w:instrText>
      </w:r>
      <w:r w:rsidR="00F24B87">
        <w:fldChar w:fldCharType="separate"/>
      </w:r>
      <w:r w:rsidR="00F24B87" w:rsidRPr="00F24B87">
        <w:rPr>
          <w:rFonts w:cs="Arial"/>
        </w:rPr>
        <w:t>(Poulus et al., 2024a</w:t>
      </w:r>
      <w:r w:rsidR="009E4331">
        <w:rPr>
          <w:rFonts w:cs="Arial"/>
        </w:rPr>
        <w:t>;</w:t>
      </w:r>
      <w:r w:rsidR="00F24B87" w:rsidRPr="00F24B87">
        <w:rPr>
          <w:rFonts w:cs="Arial"/>
        </w:rPr>
        <w:t xml:space="preserve"> </w:t>
      </w:r>
      <w:r w:rsidR="009E4331">
        <w:rPr>
          <w:rFonts w:cs="Arial"/>
        </w:rPr>
        <w:t xml:space="preserve">Poulus et al., </w:t>
      </w:r>
      <w:r w:rsidR="00F24B87" w:rsidRPr="00F24B87">
        <w:rPr>
          <w:rFonts w:cs="Arial"/>
        </w:rPr>
        <w:t>2024b)</w:t>
      </w:r>
      <w:r w:rsidR="00F24B87">
        <w:fldChar w:fldCharType="end"/>
      </w:r>
      <w:r w:rsidR="00BE6CDD">
        <w:t>. Furthermore, players in Cluster 3 demonstrated binge-like behaviours. In other words, they would practice excessively for a short period, then</w:t>
      </w:r>
      <w:r w:rsidR="00BD47B7">
        <w:t xml:space="preserve"> disengage for </w:t>
      </w:r>
      <w:r w:rsidR="00BE6CDD">
        <w:t>several days before repeating the pattern. Finally, while Cluster 4 might also feature a pattern of healthy engagement, it might compr</w:t>
      </w:r>
      <w:r w:rsidR="00915FCD">
        <w:t>omise</w:t>
      </w:r>
      <w:r w:rsidR="00BE6CDD">
        <w:t xml:space="preserve"> performance</w:t>
      </w:r>
      <w:r w:rsidR="00881E5C">
        <w:t xml:space="preserve"> due to a lower learning stimulus than Cluster 2. According to our findings, there are several avenues for future research. These include examining the relationship between the practice behaviours of Cluster 2, health, and performance; investigating the link between </w:t>
      </w:r>
      <w:r w:rsidR="00881E5C">
        <w:lastRenderedPageBreak/>
        <w:t xml:space="preserve">excessive practice and burnout; and determining the association between binge-like practice and prolonged disengagement.  </w:t>
      </w:r>
    </w:p>
    <w:p w14:paraId="2D4A9587" w14:textId="0E7E8497" w:rsidR="00143F0F" w:rsidRPr="00DA1788" w:rsidRDefault="00143F0F" w:rsidP="00935A37">
      <w:pPr>
        <w:pStyle w:val="Heading2"/>
      </w:pPr>
      <w:r w:rsidRPr="00DA1788">
        <w:t>Strengths and Limitations</w:t>
      </w:r>
    </w:p>
    <w:p w14:paraId="4146C614" w14:textId="56BF5D46" w:rsidR="00153B9A" w:rsidRDefault="00A67516" w:rsidP="0086527C">
      <w:r>
        <w:tab/>
        <w:t>To our knowledge, the present study is one of the first to action recommendations for research to use a game developer</w:t>
      </w:r>
      <w:r w:rsidR="00DA1788">
        <w:t>'</w:t>
      </w:r>
      <w:r>
        <w:t>s data repository to explore expertise in esports</w:t>
      </w:r>
      <w:r w:rsidR="00460DD1">
        <w:t xml:space="preserve"> </w:t>
      </w:r>
      <w:r w:rsidR="00460DD1">
        <w:fldChar w:fldCharType="begin"/>
      </w:r>
      <w:r w:rsidR="00EC10D9">
        <w:instrText xml:space="preserve"> ADDIN ZOTERO_ITEM CSL_CITATION {"citationID":"IePddDLU","properties":{"formattedCitation":"(Campbell et al., 2018; M. A. Pluss et al., 2019)","plainCitation":"(Campbell et al., 2018; M. A. Pluss et al., 2019)","dontUpdate":true,"noteIndex":0},"citationItems":[{"id":321,"uris":["http://zotero.org/users/13125511/items/RT3RI6A5"],"itemData":{"id":321,"type":"article-journal","abstract":"Understanding the neurological changes that take place as expertise develops is a central topic in both cognitive psychology and cognitive neuroscience. Here, we argue that video games, despite previous misconceptions, are an excellent model environment from which one can examine the development of neurocognitive expertise. Of particular relevance we argue is the area of esports, which encompass video/computer games played within the medium of cyberspace competitively and increasingly professionally. The massive scale of participation, controlled environments, structured skill ratings, pervasive social nature, and large repositories of data, together make esports potentially a very fruitful area for scientific research to increase our understanding of a new era of cognitive athletes. This chapter reviews the progress and prospects for esports research with a particular focus on the effects of gaming on neurocognition. We also outline some exciting new avenues and techniques from which we hope to further elucidate the benefits of esports on the brain.","container-title":"Progress in Brain Research","DOI":"https://doi.org/10.1016/bs.pbr.2018.09.006","note":"DOI: 10.1016/bs.pbr.2018.09.006","page":"161-174","source":"ScienceDirect","title":"Chapter 10 - eSports: A new window on neurocognitive expertise?","title-short":"Chapter 10 - eSports","volume":"240","author":[{"family":"Campbell","given":"Mark J."},{"family":"Toth","given":"Adam J."},{"family":"Moran","given":"Aidan P."},{"family":"Kowal","given":"Magdalena"},{"family":"Exton","given":"Chris"}],"editor":[{"family":"Marcora","given":"Samuele"},{"family":"Sarkar","given":"Mustafa"}],"issued":{"date-parts":[["2018",1,1]]},"citation-key":"campbellChapter10ESports2018"}},{"id":74,"uris":["http://zotero.org/users/13125511/items/4QIE2KYG"],"itemData":{"id":74,"type":"article-journal","abstract":"For many decades, researchers have explored the true potential of human achievement. The expertise field has come a long way since the early works of de Groot (1965) and Chase and Simon (1973). Since then, this inquiry has expanded into the areas of music, science, technology, sport, academia, and art. Despite the vast amount of research to date, the capability of study methodologies to truly capture the nature of expertise remains questionable. Some considerations include (i) the individual bias in the retrospective recall of developmental activities, (ii) the ability to develop ecologically valid tasks, and (iii) difficulties capturing the influence of confounding factors on expertise. This article proposes that expertise research in electronic sports (esports) presents an opportunity to overcome some of these considerations. Esports involves individuals or teams of players that compete in video game competitions via human-computer interaction. Advantages of applying the expert performance approach in esports include (i) developmental activities are objectively tracked and automatically logged online, (ii) the constraints of representative tasks correspond with the real-world environment of esports performance, and (iii) expertise has emerged without the influence of guided systematic training environments. Therefore, this article argues that esports research provides an ideal opportunity to further advance research on the development and assessment of human expertise.","container-title":"Frontiers in Psychology","DOI":"https://doi.org/10.3389/fpsyg.2019.00156","title":"Esports: The Chess of the 21st Century","volume":"10","author":[{"family":"Pluss","given":"Matthew A."},{"family":"Bennett","given":"Kyle J. M."},{"family":"Novak","given":"Andrew R."},{"family":"Panchuk","given":"Derek"},{"family":"Coutts","given":"Aaron J."},{"family":"Fransen","given":"Job"}],"issued":{"date-parts":[["2019"]]},"citation-key":"plussEsportsChess21st2019"}}],"schema":"https://github.com/citation-style-language/schema/raw/master/csl-citation.json"} </w:instrText>
      </w:r>
      <w:r w:rsidR="00460DD1">
        <w:fldChar w:fldCharType="separate"/>
      </w:r>
      <w:r w:rsidR="00460DD1" w:rsidRPr="00460DD1">
        <w:rPr>
          <w:rFonts w:cs="Arial"/>
        </w:rPr>
        <w:t>(Campbell et al., 2018; Pluss et al., 2019)</w:t>
      </w:r>
      <w:r w:rsidR="00460DD1">
        <w:fldChar w:fldCharType="end"/>
      </w:r>
      <w:r>
        <w:t xml:space="preserve">. </w:t>
      </w:r>
      <w:r w:rsidR="00D070D4">
        <w:t>One</w:t>
      </w:r>
      <w:r>
        <w:t xml:space="preserve"> strength of our study was that we could </w:t>
      </w:r>
      <w:r w:rsidR="00D070D4">
        <w:t>analyse</w:t>
      </w:r>
      <w:r>
        <w:t xml:space="preserve"> players</w:t>
      </w:r>
      <w:r w:rsidR="00DA1788">
        <w:t>'</w:t>
      </w:r>
      <w:r>
        <w:t xml:space="preserve"> practice </w:t>
      </w:r>
      <w:r w:rsidR="00D070D4">
        <w:t>histories</w:t>
      </w:r>
      <w:r>
        <w:t xml:space="preserve"> </w:t>
      </w:r>
      <w:r w:rsidR="00D070D4">
        <w:t xml:space="preserve">using objective data that the game client records while a match </w:t>
      </w:r>
      <w:r w:rsidR="00373860">
        <w:t>takes</w:t>
      </w:r>
      <w:r w:rsidR="00D070D4">
        <w:t xml:space="preserve"> place instead of relying on retrospective recall techniques. As such, we could reduce the chance of biases and estimation errors within our dataset.</w:t>
      </w:r>
      <w:r w:rsidR="00DC25D7">
        <w:t xml:space="preserve"> However, we note that we had to assume that these objective data were error-free or </w:t>
      </w:r>
      <w:r w:rsidR="00E77687">
        <w:t>that</w:t>
      </w:r>
      <w:r w:rsidR="00DC25D7">
        <w:t xml:space="preserve"> the errors were randomly distributed, as we were not involved with </w:t>
      </w:r>
      <w:r w:rsidR="00373860">
        <w:t>collecting</w:t>
      </w:r>
      <w:r w:rsidR="00DC25D7">
        <w:t xml:space="preserve"> these data.</w:t>
      </w:r>
      <w:r w:rsidR="00D070D4">
        <w:t xml:space="preserve"> A second strength of our study was that we analysed a representative sample of highly skill</w:t>
      </w:r>
      <w:r w:rsidR="0086527C">
        <w:t>ed</w:t>
      </w:r>
      <w:r w:rsidR="00D070D4">
        <w:t xml:space="preserve"> </w:t>
      </w:r>
      <w:r w:rsidR="0086527C">
        <w:t xml:space="preserve">esport </w:t>
      </w:r>
      <w:r w:rsidR="00D070D4">
        <w:t xml:space="preserve">players, </w:t>
      </w:r>
      <w:r w:rsidR="0086527C">
        <w:t xml:space="preserve">accessing data across four tiers and </w:t>
      </w:r>
      <w:r w:rsidR="00B84A34">
        <w:t xml:space="preserve">eight </w:t>
      </w:r>
      <w:r w:rsidR="0086527C">
        <w:t>servers.</w:t>
      </w:r>
      <w:r w:rsidR="00373860">
        <w:t xml:space="preserve"> </w:t>
      </w:r>
      <w:r w:rsidR="0086527C">
        <w:t xml:space="preserve">This approach allowed us </w:t>
      </w:r>
      <w:r w:rsidR="00373860">
        <w:t>to hypothesise about the relationship between expertise and practice more confidently</w:t>
      </w:r>
      <w:r w:rsidR="0086527C">
        <w:t xml:space="preserve">. </w:t>
      </w:r>
      <w:r w:rsidR="00F37254">
        <w:t>Notwithstanding</w:t>
      </w:r>
      <w:r w:rsidR="00143F0F">
        <w:t xml:space="preserve"> the strengths of our investigation, </w:t>
      </w:r>
      <w:r w:rsidR="00B2599F">
        <w:t xml:space="preserve">there are some noted limitations. First, as we have alluded </w:t>
      </w:r>
      <w:r w:rsidR="00F002DC">
        <w:t xml:space="preserve">to </w:t>
      </w:r>
      <w:r w:rsidR="00B2599F">
        <w:t>throughout this manuscript, the analys</w:t>
      </w:r>
      <w:r w:rsidR="00B84A34">
        <w:t>e</w:t>
      </w:r>
      <w:r w:rsidR="00B2599F">
        <w:t xml:space="preserve">s </w:t>
      </w:r>
      <w:r w:rsidR="00B84A34">
        <w:t>were</w:t>
      </w:r>
      <w:r w:rsidR="00B2599F">
        <w:t xml:space="preserve"> </w:t>
      </w:r>
      <w:r w:rsidR="00373860">
        <w:t>primarily</w:t>
      </w:r>
      <w:r w:rsidR="00B2599F">
        <w:t xml:space="preserve"> descriptive</w:t>
      </w:r>
      <w:r w:rsidR="009A5898">
        <w:t xml:space="preserve">, meaning we could only document the patterns within these data. </w:t>
      </w:r>
      <w:r w:rsidR="0086527C">
        <w:t xml:space="preserve">Second, the query limits associated with </w:t>
      </w:r>
      <w:r w:rsidR="00915FCD">
        <w:t xml:space="preserve">the </w:t>
      </w:r>
      <w:r w:rsidR="0086527C">
        <w:t xml:space="preserve">API restricted the </w:t>
      </w:r>
      <w:r w:rsidR="007574A5">
        <w:t>total sample size and the amount of</w:t>
      </w:r>
      <w:r w:rsidR="0086527C">
        <w:t xml:space="preserve"> data we could </w:t>
      </w:r>
      <w:r w:rsidR="00704B16">
        <w:t>reasonably</w:t>
      </w:r>
      <w:r w:rsidR="005F77D5">
        <w:t xml:space="preserve"> </w:t>
      </w:r>
      <w:r w:rsidR="0086527C">
        <w:t xml:space="preserve">access per player. Accordingly, we only </w:t>
      </w:r>
      <w:r w:rsidR="001401AC">
        <w:t xml:space="preserve">sampled a maximum of 30 players per tier and </w:t>
      </w:r>
      <w:r w:rsidR="0086527C">
        <w:t>retrieved approximately 10% of the</w:t>
      </w:r>
      <w:r w:rsidR="001401AC">
        <w:t>ir</w:t>
      </w:r>
      <w:r w:rsidR="0086527C">
        <w:t xml:space="preserve"> available matches.</w:t>
      </w:r>
      <w:r w:rsidR="00D44EC8">
        <w:t xml:space="preserve"> A third </w:t>
      </w:r>
      <w:r w:rsidR="00313BC6">
        <w:t>limitation</w:t>
      </w:r>
      <w:r w:rsidR="00D44EC8">
        <w:t xml:space="preserve"> is that we only examined th</w:t>
      </w:r>
      <w:r w:rsidR="00313BC6">
        <w:t>e trends in players' ranked solo/duo practice behaviours. As such, the values recorded in the current manuscript are unlikely to represent to total practice volume</w:t>
      </w:r>
      <w:r w:rsidR="0039306B">
        <w:t>, as players might engage in other game modes (e.g.</w:t>
      </w:r>
      <w:r w:rsidR="006B486F">
        <w:t>,</w:t>
      </w:r>
      <w:r w:rsidR="0039306B">
        <w:t xml:space="preserve"> </w:t>
      </w:r>
      <w:r w:rsidR="00461174">
        <w:t xml:space="preserve">quickplay normal, draft normal, </w:t>
      </w:r>
      <w:r w:rsidR="006B486F">
        <w:t xml:space="preserve">ranked flex, ARAM, etc.). Readers should consider these limitations when </w:t>
      </w:r>
      <w:r w:rsidR="00D066B1">
        <w:t xml:space="preserve">drawing conclusions from our manuscript. </w:t>
      </w:r>
    </w:p>
    <w:p w14:paraId="6A683942" w14:textId="70634B02" w:rsidR="008F3FCD" w:rsidRDefault="008F3FCD" w:rsidP="00DA1788">
      <w:pPr>
        <w:pStyle w:val="Heading1"/>
        <w:rPr>
          <w:rFonts w:cs="Arial"/>
          <w:color w:val="000000" w:themeColor="text1"/>
        </w:rPr>
      </w:pPr>
      <w:r>
        <w:rPr>
          <w:rFonts w:cs="Arial"/>
          <w:color w:val="000000" w:themeColor="text1"/>
        </w:rPr>
        <w:t>Conclusion</w:t>
      </w:r>
    </w:p>
    <w:p w14:paraId="696186ED" w14:textId="56C8C161" w:rsidR="003E250D" w:rsidRDefault="00F37254" w:rsidP="00BB7578">
      <w:pPr>
        <w:ind w:firstLine="720"/>
      </w:pPr>
      <w:r>
        <w:t>Despite</w:t>
      </w:r>
      <w:r w:rsidR="009951DA">
        <w:t xml:space="preserve"> the descriptive nature of our investigation, </w:t>
      </w:r>
      <w:r>
        <w:t>our study is among</w:t>
      </w:r>
      <w:r w:rsidR="00297C70">
        <w:t xml:space="preserve"> the first to </w:t>
      </w:r>
      <w:r>
        <w:t>provide</w:t>
      </w:r>
      <w:r w:rsidR="00297C70">
        <w:t xml:space="preserve"> </w:t>
      </w:r>
      <w:r w:rsidR="009951DA">
        <w:t>preliminary evidence to support the notion that expertise is associated with practice</w:t>
      </w:r>
      <w:r>
        <w:t xml:space="preserve"> </w:t>
      </w:r>
      <w:r>
        <w:lastRenderedPageBreak/>
        <w:t>behaviours</w:t>
      </w:r>
      <w:r w:rsidR="009951DA">
        <w:t xml:space="preserve"> in esports</w:t>
      </w:r>
      <w:r w:rsidR="00964612">
        <w:t>.</w:t>
      </w:r>
      <w:r w:rsidR="00AE2836">
        <w:t xml:space="preserve"> We identified </w:t>
      </w:r>
      <w:r>
        <w:t xml:space="preserve">distinct </w:t>
      </w:r>
      <w:r w:rsidR="00AE2836">
        <w:t xml:space="preserve">patterns in </w:t>
      </w:r>
      <w:r>
        <w:t>the</w:t>
      </w:r>
      <w:r w:rsidR="00AE2836">
        <w:t xml:space="preserve"> ranked practice profiles</w:t>
      </w:r>
      <w:r>
        <w:t xml:space="preserve"> of highly skilled players</w:t>
      </w:r>
      <w:r w:rsidR="00141F09">
        <w:t xml:space="preserve">, </w:t>
      </w:r>
      <w:r>
        <w:t>revealing</w:t>
      </w:r>
      <w:r w:rsidR="00141F09">
        <w:t xml:space="preserve"> more frequent, consistent, and efficient </w:t>
      </w:r>
      <w:r>
        <w:t>practice routines</w:t>
      </w:r>
      <w:r w:rsidR="004A2528">
        <w:t xml:space="preserve">. Specifically, players </w:t>
      </w:r>
      <w:r w:rsidR="00C81B58">
        <w:t>in</w:t>
      </w:r>
      <w:r w:rsidR="004A2528">
        <w:t xml:space="preserve"> higher tiers </w:t>
      </w:r>
      <w:r w:rsidR="00C81B58">
        <w:t>engaged in</w:t>
      </w:r>
      <w:r w:rsidR="004A2528">
        <w:t xml:space="preserve"> more daily practice with less variability in their total hours and </w:t>
      </w:r>
      <w:r w:rsidR="00C81B58">
        <w:t xml:space="preserve">experienced </w:t>
      </w:r>
      <w:r w:rsidR="004A2528">
        <w:t xml:space="preserve">shorter game durations. </w:t>
      </w:r>
      <w:r w:rsidR="00C81B58">
        <w:t>Additionally, we</w:t>
      </w:r>
      <w:r w:rsidR="00941C47">
        <w:t xml:space="preserve"> </w:t>
      </w:r>
      <w:r w:rsidR="00C81B58">
        <w:t xml:space="preserve">suggest that </w:t>
      </w:r>
      <w:r w:rsidR="00941C47">
        <w:t>players on servers with</w:t>
      </w:r>
      <w:r w:rsidR="00C81B58">
        <w:t xml:space="preserve"> larger </w:t>
      </w:r>
      <w:r w:rsidR="00941C47">
        <w:t>participation pool</w:t>
      </w:r>
      <w:r w:rsidR="00C81B58">
        <w:t>s</w:t>
      </w:r>
      <w:r w:rsidR="00941C47">
        <w:t xml:space="preserve"> </w:t>
      </w:r>
      <w:r w:rsidR="00C81B58">
        <w:t>may</w:t>
      </w:r>
      <w:r w:rsidR="00941C47">
        <w:t xml:space="preserve"> require more practice </w:t>
      </w:r>
      <w:r w:rsidR="00C91B4F">
        <w:t xml:space="preserve">to achieve higher ranks due to </w:t>
      </w:r>
      <w:r w:rsidR="00360384">
        <w:t>greater</w:t>
      </w:r>
      <w:r w:rsidR="00C91B4F">
        <w:t xml:space="preserve"> competitiveness. </w:t>
      </w:r>
      <w:r w:rsidR="00881E5C">
        <w:t>Finally, we proposed that there are some practice patterns that promote positive engagement with League of Legends and other</w:t>
      </w:r>
      <w:r w:rsidR="005F77D5">
        <w:t>s</w:t>
      </w:r>
      <w:r w:rsidR="00881E5C">
        <w:t xml:space="preserve"> that</w:t>
      </w:r>
      <w:r w:rsidR="005F77D5">
        <w:t xml:space="preserve"> may</w:t>
      </w:r>
      <w:r w:rsidR="00881E5C">
        <w:t xml:space="preserve"> lead to disengagement. </w:t>
      </w:r>
      <w:r w:rsidR="00360384">
        <w:t>While our study was exploratory</w:t>
      </w:r>
      <w:r w:rsidR="00FC67A0">
        <w:t xml:space="preserve">, </w:t>
      </w:r>
      <w:r w:rsidR="00360384">
        <w:t xml:space="preserve">it highlights the need for </w:t>
      </w:r>
      <w:r w:rsidR="00FC67A0">
        <w:t xml:space="preserve">future confirmatory </w:t>
      </w:r>
      <w:r w:rsidR="00360384">
        <w:t xml:space="preserve">research to test our hypotheses. </w:t>
      </w:r>
      <w:r w:rsidR="002A2E57">
        <w:t>By analysing additional data within the repository or employing longitudinal methods, subsequent studies</w:t>
      </w:r>
      <w:r w:rsidR="005F77D5">
        <w:t xml:space="preserve"> may</w:t>
      </w:r>
      <w:r w:rsidR="002A2E57">
        <w:t xml:space="preserve"> </w:t>
      </w:r>
      <w:r w:rsidR="002E015D">
        <w:t xml:space="preserve">validate or expand upon our findings. </w:t>
      </w:r>
    </w:p>
    <w:p w14:paraId="698E4917" w14:textId="70497744" w:rsidR="0041197B" w:rsidRDefault="0041197B">
      <w:pPr>
        <w:spacing w:after="160" w:line="259" w:lineRule="auto"/>
        <w:rPr>
          <w:rFonts w:eastAsiaTheme="majorEastAsia" w:cs="Arial"/>
          <w:b/>
          <w:color w:val="000000" w:themeColor="text1"/>
          <w:sz w:val="24"/>
          <w:szCs w:val="32"/>
        </w:rPr>
      </w:pPr>
    </w:p>
    <w:p w14:paraId="4002B99F" w14:textId="77777777" w:rsidR="00FC2DFC" w:rsidRDefault="00FC2DFC">
      <w:pPr>
        <w:spacing w:after="160" w:line="259" w:lineRule="auto"/>
        <w:rPr>
          <w:rFonts w:eastAsiaTheme="majorEastAsia" w:cs="Arial"/>
          <w:b/>
          <w:color w:val="000000" w:themeColor="text1"/>
          <w:sz w:val="24"/>
          <w:szCs w:val="32"/>
        </w:rPr>
      </w:pPr>
      <w:r>
        <w:rPr>
          <w:rFonts w:cs="Arial"/>
          <w:color w:val="000000" w:themeColor="text1"/>
        </w:rPr>
        <w:br w:type="page"/>
      </w:r>
    </w:p>
    <w:p w14:paraId="25F5466C" w14:textId="64EF00E8" w:rsidR="00E00F0C" w:rsidRDefault="00E00F0C" w:rsidP="00B401EB">
      <w:pPr>
        <w:pStyle w:val="Heading1"/>
        <w:rPr>
          <w:rFonts w:cs="Arial"/>
          <w:color w:val="000000" w:themeColor="text1"/>
        </w:rPr>
      </w:pPr>
      <w:r w:rsidRPr="00BA1C98">
        <w:rPr>
          <w:rFonts w:cs="Arial"/>
          <w:color w:val="000000" w:themeColor="text1"/>
        </w:rPr>
        <w:lastRenderedPageBreak/>
        <w:t>References</w:t>
      </w:r>
    </w:p>
    <w:p w14:paraId="08B18449" w14:textId="77777777" w:rsidR="00EC10D9" w:rsidRPr="00EC10D9" w:rsidRDefault="00D63939" w:rsidP="00EC10D9">
      <w:pPr>
        <w:pStyle w:val="Bibliography"/>
        <w:rPr>
          <w:rFonts w:cs="Arial"/>
        </w:rPr>
      </w:pPr>
      <w:r>
        <w:fldChar w:fldCharType="begin"/>
      </w:r>
      <w:r w:rsidR="004F0F90">
        <w:instrText xml:space="preserve"> ADDIN ZOTERO_BIBL {"uncited":[],"omitted":[],"custom":[]} CSL_BIBLIOGRAPHY </w:instrText>
      </w:r>
      <w:r>
        <w:fldChar w:fldCharType="separate"/>
      </w:r>
      <w:r w:rsidR="00EC10D9" w:rsidRPr="00EC10D9">
        <w:rPr>
          <w:rFonts w:cs="Arial"/>
        </w:rPr>
        <w:t xml:space="preserve">Baker, J., Cote, J., &amp; Abernethy, B. (2003). Sport-Specific Practice and the Development of Expert Decision-Making in Team Ball Sports. </w:t>
      </w:r>
      <w:r w:rsidR="00EC10D9" w:rsidRPr="00EC10D9">
        <w:rPr>
          <w:rFonts w:cs="Arial"/>
          <w:i/>
          <w:iCs/>
        </w:rPr>
        <w:t>Journal of Applied Sport Psychology</w:t>
      </w:r>
      <w:r w:rsidR="00EC10D9" w:rsidRPr="00EC10D9">
        <w:rPr>
          <w:rFonts w:cs="Arial"/>
        </w:rPr>
        <w:t xml:space="preserve">, </w:t>
      </w:r>
      <w:r w:rsidR="00EC10D9" w:rsidRPr="00EC10D9">
        <w:rPr>
          <w:rFonts w:cs="Arial"/>
          <w:i/>
          <w:iCs/>
        </w:rPr>
        <w:t>15</w:t>
      </w:r>
      <w:r w:rsidR="00EC10D9" w:rsidRPr="00EC10D9">
        <w:rPr>
          <w:rFonts w:cs="Arial"/>
        </w:rPr>
        <w:t>(1), 12–25. https://doi.org/10.1080/10413200305400</w:t>
      </w:r>
    </w:p>
    <w:p w14:paraId="1D2C97EC" w14:textId="77777777" w:rsidR="00EC10D9" w:rsidRPr="00EC10D9" w:rsidRDefault="00EC10D9" w:rsidP="00EC10D9">
      <w:pPr>
        <w:pStyle w:val="Bibliography"/>
        <w:rPr>
          <w:rFonts w:cs="Arial"/>
        </w:rPr>
      </w:pPr>
      <w:r w:rsidRPr="00EC10D9">
        <w:rPr>
          <w:rFonts w:cs="Arial"/>
        </w:rPr>
        <w:t xml:space="preserve">Bubna, K., Trotter, M. G., Watson, M., &amp; Polman, R. (2023). Coaching and talent development in esports: A theoretical framework and suggestions for future research. </w:t>
      </w:r>
      <w:r w:rsidRPr="00EC10D9">
        <w:rPr>
          <w:rFonts w:cs="Arial"/>
          <w:i/>
          <w:iCs/>
        </w:rPr>
        <w:t>Frontiers in Psychology</w:t>
      </w:r>
      <w:r w:rsidRPr="00EC10D9">
        <w:rPr>
          <w:rFonts w:cs="Arial"/>
        </w:rPr>
        <w:t xml:space="preserve">, </w:t>
      </w:r>
      <w:r w:rsidRPr="00EC10D9">
        <w:rPr>
          <w:rFonts w:cs="Arial"/>
          <w:i/>
          <w:iCs/>
        </w:rPr>
        <w:t>14</w:t>
      </w:r>
      <w:r w:rsidRPr="00EC10D9">
        <w:rPr>
          <w:rFonts w:cs="Arial"/>
        </w:rPr>
        <w:t>. https://doi.org/10.3389/fpsyg.2023.1191801</w:t>
      </w:r>
    </w:p>
    <w:p w14:paraId="52CD0370" w14:textId="77777777" w:rsidR="00EC10D9" w:rsidRPr="00EC10D9" w:rsidRDefault="00EC10D9" w:rsidP="00EC10D9">
      <w:pPr>
        <w:pStyle w:val="Bibliography"/>
        <w:rPr>
          <w:rFonts w:cs="Arial"/>
        </w:rPr>
      </w:pPr>
      <w:r w:rsidRPr="00EC10D9">
        <w:rPr>
          <w:rFonts w:cs="Arial"/>
        </w:rPr>
        <w:t xml:space="preserve">Burgess, D. J., &amp; Naughton, G. A. (2010). Talent Development in Adolescent Team Sports: A Review. </w:t>
      </w:r>
      <w:r w:rsidRPr="00EC10D9">
        <w:rPr>
          <w:rFonts w:cs="Arial"/>
          <w:i/>
          <w:iCs/>
        </w:rPr>
        <w:t>International Journal of Sports Physiology and Performance</w:t>
      </w:r>
      <w:r w:rsidRPr="00EC10D9">
        <w:rPr>
          <w:rFonts w:cs="Arial"/>
        </w:rPr>
        <w:t xml:space="preserve">, </w:t>
      </w:r>
      <w:r w:rsidRPr="00EC10D9">
        <w:rPr>
          <w:rFonts w:cs="Arial"/>
          <w:i/>
          <w:iCs/>
        </w:rPr>
        <w:t>5</w:t>
      </w:r>
      <w:r w:rsidRPr="00EC10D9">
        <w:rPr>
          <w:rFonts w:cs="Arial"/>
        </w:rPr>
        <w:t>(1), 103–116. https://doi.org/10.1123/ijspp.5.1.103</w:t>
      </w:r>
    </w:p>
    <w:p w14:paraId="1E09BD33" w14:textId="77777777" w:rsidR="00EC10D9" w:rsidRPr="00EC10D9" w:rsidRDefault="00EC10D9" w:rsidP="00EC10D9">
      <w:pPr>
        <w:pStyle w:val="Bibliography"/>
        <w:rPr>
          <w:rFonts w:cs="Arial"/>
        </w:rPr>
      </w:pPr>
      <w:r w:rsidRPr="00EC10D9">
        <w:rPr>
          <w:rFonts w:cs="Arial"/>
        </w:rPr>
        <w:t xml:space="preserve">Campbell, M. J., Toth, A. J., Moran, A. P., Kowal, M., &amp; Exton, C. (2018). Chapter 10 - eSports: A new window on neurocognitive expertise? </w:t>
      </w:r>
      <w:r w:rsidRPr="00EC10D9">
        <w:rPr>
          <w:rFonts w:cs="Arial"/>
          <w:i/>
          <w:iCs/>
        </w:rPr>
        <w:t>Progress in Brain Research</w:t>
      </w:r>
      <w:r w:rsidRPr="00EC10D9">
        <w:rPr>
          <w:rFonts w:cs="Arial"/>
        </w:rPr>
        <w:t xml:space="preserve">, </w:t>
      </w:r>
      <w:r w:rsidRPr="00EC10D9">
        <w:rPr>
          <w:rFonts w:cs="Arial"/>
          <w:i/>
          <w:iCs/>
        </w:rPr>
        <w:t>240</w:t>
      </w:r>
      <w:r w:rsidRPr="00EC10D9">
        <w:rPr>
          <w:rFonts w:cs="Arial"/>
        </w:rPr>
        <w:t>, 161–174. https://doi.org/10.1016/bs.pbr.2018.09.006</w:t>
      </w:r>
    </w:p>
    <w:p w14:paraId="76AC1B60" w14:textId="31E037AB" w:rsidR="00EC10D9" w:rsidRPr="00EC10D9" w:rsidRDefault="00EC10D9" w:rsidP="00EC10D9">
      <w:pPr>
        <w:pStyle w:val="Bibliography"/>
        <w:rPr>
          <w:rFonts w:cs="Arial"/>
        </w:rPr>
      </w:pPr>
      <w:r w:rsidRPr="00EC10D9">
        <w:rPr>
          <w:rFonts w:cs="Arial"/>
        </w:rPr>
        <w:t>Deng, D., Trepanowski, R., Li, M., Zhang, Y., Bujić, M., &amp; Hamari, J. (2024). Streaks and Coping: Decoding Player Performance in League of Legends Using Big Data from Top Players</w:t>
      </w:r>
      <w:r w:rsidR="00DA1788">
        <w:rPr>
          <w:rFonts w:cs="Arial"/>
        </w:rPr>
        <w:t>'</w:t>
      </w:r>
      <w:r w:rsidRPr="00EC10D9">
        <w:rPr>
          <w:rFonts w:cs="Arial"/>
        </w:rPr>
        <w:t xml:space="preserve"> Matches. </w:t>
      </w:r>
      <w:r w:rsidRPr="00EC10D9">
        <w:rPr>
          <w:rFonts w:cs="Arial"/>
          <w:i/>
          <w:iCs/>
        </w:rPr>
        <w:t>Companion Proceedings of the 2024 Annual Symposium on Computer-Human Interaction in Play</w:t>
      </w:r>
      <w:r w:rsidRPr="00EC10D9">
        <w:rPr>
          <w:rFonts w:cs="Arial"/>
        </w:rPr>
        <w:t>, 50–55. https://doi.org/10.1145/3665463.3678787</w:t>
      </w:r>
    </w:p>
    <w:p w14:paraId="43A32783" w14:textId="77777777" w:rsidR="00EC10D9" w:rsidRPr="00EC10D9" w:rsidRDefault="00EC10D9" w:rsidP="00EC10D9">
      <w:pPr>
        <w:pStyle w:val="Bibliography"/>
        <w:rPr>
          <w:rFonts w:cs="Arial"/>
        </w:rPr>
      </w:pPr>
      <w:r w:rsidRPr="00EC10D9">
        <w:rPr>
          <w:rFonts w:cs="Arial"/>
        </w:rPr>
        <w:t xml:space="preserve">Ford, P. R., Ward, P., Hodges, N. J., &amp; Williams, A. M. (2009). The role of deliberate practice and play in career progression in sport: The early engagement hypothesis. </w:t>
      </w:r>
      <w:r w:rsidRPr="00EC10D9">
        <w:rPr>
          <w:rFonts w:cs="Arial"/>
          <w:i/>
          <w:iCs/>
        </w:rPr>
        <w:t>High Ability Studies</w:t>
      </w:r>
      <w:r w:rsidRPr="00EC10D9">
        <w:rPr>
          <w:rFonts w:cs="Arial"/>
        </w:rPr>
        <w:t>. https://doi.org/10.1080/13598130902860721</w:t>
      </w:r>
    </w:p>
    <w:p w14:paraId="652FAD52" w14:textId="67AE1FB6" w:rsidR="00EC10D9" w:rsidRPr="00EC10D9" w:rsidRDefault="00EC10D9" w:rsidP="00EC10D9">
      <w:pPr>
        <w:pStyle w:val="Bibliography"/>
        <w:rPr>
          <w:rFonts w:cs="Arial"/>
        </w:rPr>
      </w:pPr>
      <w:r w:rsidRPr="00EC10D9">
        <w:rPr>
          <w:rFonts w:cs="Arial"/>
        </w:rPr>
        <w:t>Güllich, A. (2014). Many roads lead to Rome—Developmental paths to Olympic gold in men</w:t>
      </w:r>
      <w:r w:rsidR="00DA1788">
        <w:rPr>
          <w:rFonts w:cs="Arial"/>
        </w:rPr>
        <w:t>'</w:t>
      </w:r>
      <w:r w:rsidRPr="00EC10D9">
        <w:rPr>
          <w:rFonts w:cs="Arial"/>
        </w:rPr>
        <w:t xml:space="preserve">s field hockey. </w:t>
      </w:r>
      <w:r w:rsidRPr="00EC10D9">
        <w:rPr>
          <w:rFonts w:cs="Arial"/>
          <w:i/>
          <w:iCs/>
        </w:rPr>
        <w:t>European Journal of Sport Science</w:t>
      </w:r>
      <w:r w:rsidRPr="00EC10D9">
        <w:rPr>
          <w:rFonts w:cs="Arial"/>
        </w:rPr>
        <w:t xml:space="preserve">, </w:t>
      </w:r>
      <w:r w:rsidRPr="00EC10D9">
        <w:rPr>
          <w:rFonts w:cs="Arial"/>
          <w:i/>
          <w:iCs/>
        </w:rPr>
        <w:t>14</w:t>
      </w:r>
      <w:r w:rsidRPr="00EC10D9">
        <w:rPr>
          <w:rFonts w:cs="Arial"/>
        </w:rPr>
        <w:t>(8), 763–771. https://doi.org/10.1080/17461391.2014.905983</w:t>
      </w:r>
    </w:p>
    <w:p w14:paraId="71190FBB" w14:textId="77777777" w:rsidR="00EC10D9" w:rsidRPr="00EC10D9" w:rsidRDefault="00EC10D9" w:rsidP="00EC10D9">
      <w:pPr>
        <w:pStyle w:val="Bibliography"/>
        <w:rPr>
          <w:rFonts w:cs="Arial"/>
        </w:rPr>
      </w:pPr>
      <w:r w:rsidRPr="00EC10D9">
        <w:rPr>
          <w:rFonts w:cs="Arial"/>
        </w:rPr>
        <w:t xml:space="preserve">Howard, R. W. (2011). Testing the accuracy of the retrospective recall method used in expertise research. </w:t>
      </w:r>
      <w:r w:rsidRPr="00EC10D9">
        <w:rPr>
          <w:rFonts w:cs="Arial"/>
          <w:i/>
          <w:iCs/>
        </w:rPr>
        <w:t>Behavior Research Methods</w:t>
      </w:r>
      <w:r w:rsidRPr="00EC10D9">
        <w:rPr>
          <w:rFonts w:cs="Arial"/>
        </w:rPr>
        <w:t xml:space="preserve">, </w:t>
      </w:r>
      <w:r w:rsidRPr="00EC10D9">
        <w:rPr>
          <w:rFonts w:cs="Arial"/>
          <w:i/>
          <w:iCs/>
        </w:rPr>
        <w:t>43</w:t>
      </w:r>
      <w:r w:rsidRPr="00EC10D9">
        <w:rPr>
          <w:rFonts w:cs="Arial"/>
        </w:rPr>
        <w:t>(4), 931–941. https://doi.org/10.3758/s13428-011-0120-x</w:t>
      </w:r>
    </w:p>
    <w:p w14:paraId="697D7D2E" w14:textId="77777777" w:rsidR="00EC10D9" w:rsidRPr="00EC10D9" w:rsidRDefault="00EC10D9" w:rsidP="00EC10D9">
      <w:pPr>
        <w:pStyle w:val="Bibliography"/>
        <w:rPr>
          <w:rFonts w:cs="Arial"/>
        </w:rPr>
      </w:pPr>
      <w:r w:rsidRPr="00EC10D9">
        <w:rPr>
          <w:rFonts w:cs="Arial"/>
        </w:rPr>
        <w:lastRenderedPageBreak/>
        <w:t xml:space="preserve">International Olympics Committee. (2024, July 12). </w:t>
      </w:r>
      <w:r w:rsidRPr="00EC10D9">
        <w:rPr>
          <w:rFonts w:cs="Arial"/>
          <w:i/>
          <w:iCs/>
        </w:rPr>
        <w:t>IOC announces Olympic Esports Games to be hosted in the Kingdom of Saudi Arabia</w:t>
      </w:r>
      <w:r w:rsidRPr="00EC10D9">
        <w:rPr>
          <w:rFonts w:cs="Arial"/>
        </w:rPr>
        <w:t>. Olympics.Com. https://olympics.com/ioc/news/ioc-announces-olympic-esports-games-to-be-hosted-in-the-kingdom-of-saudi-arabia</w:t>
      </w:r>
    </w:p>
    <w:p w14:paraId="0E383E7B" w14:textId="77777777" w:rsidR="00EC10D9" w:rsidRPr="00EC10D9" w:rsidRDefault="00EC10D9" w:rsidP="00EC10D9">
      <w:pPr>
        <w:pStyle w:val="Bibliography"/>
        <w:rPr>
          <w:rFonts w:cs="Arial"/>
        </w:rPr>
      </w:pPr>
      <w:r w:rsidRPr="00EC10D9">
        <w:rPr>
          <w:rFonts w:cs="Arial"/>
        </w:rPr>
        <w:t xml:space="preserve">League of Graphs. (2024). </w:t>
      </w:r>
      <w:r w:rsidRPr="00EC10D9">
        <w:rPr>
          <w:rFonts w:cs="Arial"/>
          <w:i/>
          <w:iCs/>
        </w:rPr>
        <w:t>Rank distribution—League of Legends</w:t>
      </w:r>
      <w:r w:rsidRPr="00EC10D9">
        <w:rPr>
          <w:rFonts w:cs="Arial"/>
        </w:rPr>
        <w:t>. League of Graphs. https://www.leagueofgraphs.com/rankings/rank-distribution</w:t>
      </w:r>
    </w:p>
    <w:p w14:paraId="1EC1B653" w14:textId="77777777" w:rsidR="00EC10D9" w:rsidRPr="00EC10D9" w:rsidRDefault="00EC10D9" w:rsidP="00EC10D9">
      <w:pPr>
        <w:pStyle w:val="Bibliography"/>
        <w:rPr>
          <w:rFonts w:cs="Arial"/>
        </w:rPr>
      </w:pPr>
      <w:r w:rsidRPr="00EC10D9">
        <w:rPr>
          <w:rFonts w:cs="Arial"/>
        </w:rPr>
        <w:t xml:space="preserve">Leis, O., Sharpe, B. T., Pelikan, V., Fritsch, J., Nicholls, A. R., &amp; Poulus, D. (2024). Stressors and coping strategies in esports: A systematic review. </w:t>
      </w:r>
      <w:r w:rsidRPr="00EC10D9">
        <w:rPr>
          <w:rFonts w:cs="Arial"/>
          <w:i/>
          <w:iCs/>
        </w:rPr>
        <w:t>International Review of Sport and Exercise Psychology</w:t>
      </w:r>
      <w:r w:rsidRPr="00EC10D9">
        <w:rPr>
          <w:rFonts w:cs="Arial"/>
        </w:rPr>
        <w:t xml:space="preserve">, </w:t>
      </w:r>
      <w:r w:rsidRPr="00EC10D9">
        <w:rPr>
          <w:rFonts w:cs="Arial"/>
          <w:i/>
          <w:iCs/>
        </w:rPr>
        <w:t>0</w:t>
      </w:r>
      <w:r w:rsidRPr="00EC10D9">
        <w:rPr>
          <w:rFonts w:cs="Arial"/>
        </w:rPr>
        <w:t>(0), 1–31. https://doi.org/10.1080/1750984X.2024.2386528</w:t>
      </w:r>
    </w:p>
    <w:p w14:paraId="087C4621" w14:textId="77777777" w:rsidR="00EC10D9" w:rsidRPr="00EC10D9" w:rsidRDefault="00EC10D9" w:rsidP="00EC10D9">
      <w:pPr>
        <w:pStyle w:val="Bibliography"/>
        <w:rPr>
          <w:rFonts w:cs="Arial"/>
        </w:rPr>
      </w:pPr>
      <w:r w:rsidRPr="00EC10D9">
        <w:rPr>
          <w:rFonts w:cs="Arial"/>
        </w:rPr>
        <w:t xml:space="preserve">Novak, A. R., Bennett, K. J. M., Pluss, M. A., &amp; Fransen, J. (2019). Performance analysis in esports: Part 1 - the validity and reliability of match statistics and notational analysis in League of Legends. </w:t>
      </w:r>
      <w:r w:rsidRPr="00EC10D9">
        <w:rPr>
          <w:rFonts w:cs="Arial"/>
          <w:i/>
          <w:iCs/>
        </w:rPr>
        <w:t>Sportrxiv</w:t>
      </w:r>
      <w:r w:rsidRPr="00EC10D9">
        <w:rPr>
          <w:rFonts w:cs="Arial"/>
        </w:rPr>
        <w:t>. https://doi.org/10.31236/osf.io/sm3nj</w:t>
      </w:r>
    </w:p>
    <w:p w14:paraId="229B0767" w14:textId="77777777" w:rsidR="00EC10D9" w:rsidRPr="00EC10D9" w:rsidRDefault="00EC10D9" w:rsidP="00EC10D9">
      <w:pPr>
        <w:pStyle w:val="Bibliography"/>
        <w:rPr>
          <w:rFonts w:cs="Arial"/>
        </w:rPr>
      </w:pPr>
      <w:r w:rsidRPr="00EC10D9">
        <w:rPr>
          <w:rFonts w:cs="Arial"/>
        </w:rPr>
        <w:t xml:space="preserve">Novak, A. R., Bennett, K. J., Pluss, M. A., &amp; Fransen, J. (2020). Performance analysis in esports: Modelling performance at the 2018 League of Legends World Championship. </w:t>
      </w:r>
      <w:r w:rsidRPr="00EC10D9">
        <w:rPr>
          <w:rFonts w:cs="Arial"/>
          <w:i/>
          <w:iCs/>
        </w:rPr>
        <w:t>International Journal of Sports Science &amp; Coaching</w:t>
      </w:r>
      <w:r w:rsidRPr="00EC10D9">
        <w:rPr>
          <w:rFonts w:cs="Arial"/>
        </w:rPr>
        <w:t xml:space="preserve">, </w:t>
      </w:r>
      <w:r w:rsidRPr="00EC10D9">
        <w:rPr>
          <w:rFonts w:cs="Arial"/>
          <w:i/>
          <w:iCs/>
        </w:rPr>
        <w:t>15</w:t>
      </w:r>
      <w:r w:rsidRPr="00EC10D9">
        <w:rPr>
          <w:rFonts w:cs="Arial"/>
        </w:rPr>
        <w:t>(5–6), 809–817. https://doi.org/10.1177/1747954120932853</w:t>
      </w:r>
    </w:p>
    <w:p w14:paraId="3077C2BA" w14:textId="77777777" w:rsidR="00EC10D9" w:rsidRPr="00EC10D9" w:rsidRDefault="00EC10D9" w:rsidP="00EC10D9">
      <w:pPr>
        <w:pStyle w:val="Bibliography"/>
        <w:rPr>
          <w:rFonts w:cs="Arial"/>
        </w:rPr>
      </w:pPr>
      <w:r w:rsidRPr="00EC10D9">
        <w:rPr>
          <w:rFonts w:cs="Arial"/>
        </w:rPr>
        <w:t xml:space="preserve">Pedraza-Ramirez, I., Musculus, L., Raab, M., &amp; Laborde, S. (2020). Setting the scientific stage for esports psychology: A systematic review. </w:t>
      </w:r>
      <w:r w:rsidRPr="00EC10D9">
        <w:rPr>
          <w:rFonts w:cs="Arial"/>
          <w:i/>
          <w:iCs/>
        </w:rPr>
        <w:t>International Review of Sport and Exercise Psychology</w:t>
      </w:r>
      <w:r w:rsidRPr="00EC10D9">
        <w:rPr>
          <w:rFonts w:cs="Arial"/>
        </w:rPr>
        <w:t xml:space="preserve">, </w:t>
      </w:r>
      <w:r w:rsidRPr="00EC10D9">
        <w:rPr>
          <w:rFonts w:cs="Arial"/>
          <w:i/>
          <w:iCs/>
        </w:rPr>
        <w:t>0</w:t>
      </w:r>
      <w:r w:rsidRPr="00EC10D9">
        <w:rPr>
          <w:rFonts w:cs="Arial"/>
        </w:rPr>
        <w:t>(0), 1–34. https://doi.org/10.1080/1750984X.2020.1723122</w:t>
      </w:r>
    </w:p>
    <w:p w14:paraId="7D7617E8" w14:textId="77777777" w:rsidR="00EC10D9" w:rsidRPr="00EC10D9" w:rsidRDefault="00EC10D9" w:rsidP="00EC10D9">
      <w:pPr>
        <w:pStyle w:val="Bibliography"/>
        <w:rPr>
          <w:rFonts w:cs="Arial"/>
        </w:rPr>
      </w:pPr>
      <w:r w:rsidRPr="00EC10D9">
        <w:rPr>
          <w:rFonts w:cs="Arial"/>
        </w:rPr>
        <w:t xml:space="preserve">Pluss, M. A., Bennett, K. J. M., Novak, A. R., Panchuk, D., Coutts, A. J., &amp; Fransen, J. (2019). Esports: The Chess of the 21st Century. </w:t>
      </w:r>
      <w:r w:rsidRPr="00EC10D9">
        <w:rPr>
          <w:rFonts w:cs="Arial"/>
          <w:i/>
          <w:iCs/>
        </w:rPr>
        <w:t>Frontiers in Psychology</w:t>
      </w:r>
      <w:r w:rsidRPr="00EC10D9">
        <w:rPr>
          <w:rFonts w:cs="Arial"/>
        </w:rPr>
        <w:t xml:space="preserve">, </w:t>
      </w:r>
      <w:r w:rsidRPr="00EC10D9">
        <w:rPr>
          <w:rFonts w:cs="Arial"/>
          <w:i/>
          <w:iCs/>
        </w:rPr>
        <w:t>10</w:t>
      </w:r>
      <w:r w:rsidRPr="00EC10D9">
        <w:rPr>
          <w:rFonts w:cs="Arial"/>
        </w:rPr>
        <w:t>. https://doi.org/10.3389/fpsyg.2019.00156</w:t>
      </w:r>
    </w:p>
    <w:p w14:paraId="36802448" w14:textId="77777777" w:rsidR="00EC10D9" w:rsidRPr="00EC10D9" w:rsidRDefault="00EC10D9" w:rsidP="00EC10D9">
      <w:pPr>
        <w:pStyle w:val="Bibliography"/>
        <w:rPr>
          <w:rFonts w:cs="Arial"/>
        </w:rPr>
      </w:pPr>
      <w:r w:rsidRPr="00EC10D9">
        <w:rPr>
          <w:rFonts w:cs="Arial"/>
        </w:rPr>
        <w:t xml:space="preserve">Pluss, M. A., Novak, A. R., Bennett, K. J. M., McBride, I., Panchuk, D., Coutts, A. J., &amp; Fransen, J. (2022). Examining the game-specific practice behaviors of professional and semi-professional esports players: A 52-week longitudinal study. </w:t>
      </w:r>
      <w:r w:rsidRPr="00EC10D9">
        <w:rPr>
          <w:rFonts w:cs="Arial"/>
          <w:i/>
          <w:iCs/>
        </w:rPr>
        <w:t>Computers in Human Behavior</w:t>
      </w:r>
      <w:r w:rsidRPr="00EC10D9">
        <w:rPr>
          <w:rFonts w:cs="Arial"/>
        </w:rPr>
        <w:t xml:space="preserve">, </w:t>
      </w:r>
      <w:r w:rsidRPr="00EC10D9">
        <w:rPr>
          <w:rFonts w:cs="Arial"/>
          <w:i/>
          <w:iCs/>
        </w:rPr>
        <w:t>137</w:t>
      </w:r>
      <w:r w:rsidRPr="00EC10D9">
        <w:rPr>
          <w:rFonts w:cs="Arial"/>
        </w:rPr>
        <w:t>, 107421. https://doi.org/10.1016/j.chb.2022.107421</w:t>
      </w:r>
    </w:p>
    <w:p w14:paraId="6CFCA184" w14:textId="77777777" w:rsidR="00EC10D9" w:rsidRPr="00EC10D9" w:rsidRDefault="00EC10D9" w:rsidP="00EC10D9">
      <w:pPr>
        <w:pStyle w:val="Bibliography"/>
        <w:rPr>
          <w:rFonts w:cs="Arial"/>
        </w:rPr>
      </w:pPr>
      <w:r w:rsidRPr="00EC10D9">
        <w:rPr>
          <w:rFonts w:cs="Arial"/>
        </w:rPr>
        <w:lastRenderedPageBreak/>
        <w:t xml:space="preserve">Pluss, M. A., Novak, A. R., Bennett, K. J. M., Panchuk, D., Coutts, A. J., &amp; Fransen, J. (2021). The relationship between the quantity of practice and in-game performance during practice with tournament performance in esports: An eight-week study. </w:t>
      </w:r>
      <w:r w:rsidRPr="00EC10D9">
        <w:rPr>
          <w:rFonts w:cs="Arial"/>
          <w:i/>
          <w:iCs/>
        </w:rPr>
        <w:t>The Journal of Sport &amp; Exercise Science</w:t>
      </w:r>
      <w:r w:rsidRPr="00EC10D9">
        <w:rPr>
          <w:rFonts w:cs="Arial"/>
        </w:rPr>
        <w:t xml:space="preserve">, </w:t>
      </w:r>
      <w:r w:rsidRPr="00EC10D9">
        <w:rPr>
          <w:rFonts w:cs="Arial"/>
          <w:i/>
          <w:iCs/>
        </w:rPr>
        <w:t>5</w:t>
      </w:r>
      <w:r w:rsidRPr="00EC10D9">
        <w:rPr>
          <w:rFonts w:cs="Arial"/>
        </w:rPr>
        <w:t>(1), 69–76.</w:t>
      </w:r>
    </w:p>
    <w:p w14:paraId="32CD2A1C" w14:textId="77777777" w:rsidR="00EC10D9" w:rsidRPr="00EC10D9" w:rsidRDefault="00EC10D9" w:rsidP="00EC10D9">
      <w:pPr>
        <w:pStyle w:val="Bibliography"/>
        <w:rPr>
          <w:rFonts w:cs="Arial"/>
        </w:rPr>
      </w:pPr>
      <w:r w:rsidRPr="00EC10D9">
        <w:rPr>
          <w:rFonts w:cs="Arial"/>
        </w:rPr>
        <w:t xml:space="preserve">Pluss, M., Novak, A. R., Bennett, K. J. M., Panchuk, D., Coutts, A. J., Fransen, J., &amp; Pluss, M. (2020). Perceptual-motor Abilities Underlying Expertise in Esports. </w:t>
      </w:r>
      <w:r w:rsidRPr="00EC10D9">
        <w:rPr>
          <w:rFonts w:cs="Arial"/>
          <w:i/>
          <w:iCs/>
        </w:rPr>
        <w:t>Journal of Expertise</w:t>
      </w:r>
      <w:r w:rsidRPr="00EC10D9">
        <w:rPr>
          <w:rFonts w:cs="Arial"/>
        </w:rPr>
        <w:t xml:space="preserve">, </w:t>
      </w:r>
      <w:r w:rsidRPr="00EC10D9">
        <w:rPr>
          <w:rFonts w:cs="Arial"/>
          <w:i/>
          <w:iCs/>
        </w:rPr>
        <w:t>3</w:t>
      </w:r>
      <w:r w:rsidRPr="00EC10D9">
        <w:rPr>
          <w:rFonts w:cs="Arial"/>
        </w:rPr>
        <w:t>(2), 133–143.</w:t>
      </w:r>
    </w:p>
    <w:p w14:paraId="03D5300B" w14:textId="77777777" w:rsidR="00EC10D9" w:rsidRPr="00EC10D9" w:rsidRDefault="00EC10D9" w:rsidP="00EC10D9">
      <w:pPr>
        <w:pStyle w:val="Bibliography"/>
        <w:rPr>
          <w:rFonts w:cs="Arial"/>
        </w:rPr>
      </w:pPr>
      <w:r w:rsidRPr="00EC10D9">
        <w:rPr>
          <w:rFonts w:cs="Arial"/>
        </w:rPr>
        <w:t xml:space="preserve">Poulus, D., Coulter, T. J., Trotter, M. G., &amp; Polman, R. (2020). Stress and Coping in Esports and the Influence of Mental Toughness. </w:t>
      </w:r>
      <w:r w:rsidRPr="00EC10D9">
        <w:rPr>
          <w:rFonts w:cs="Arial"/>
          <w:i/>
          <w:iCs/>
        </w:rPr>
        <w:t>Frontiers in Psychology</w:t>
      </w:r>
      <w:r w:rsidRPr="00EC10D9">
        <w:rPr>
          <w:rFonts w:cs="Arial"/>
        </w:rPr>
        <w:t xml:space="preserve">, </w:t>
      </w:r>
      <w:r w:rsidRPr="00EC10D9">
        <w:rPr>
          <w:rFonts w:cs="Arial"/>
          <w:i/>
          <w:iCs/>
        </w:rPr>
        <w:t>11</w:t>
      </w:r>
      <w:r w:rsidRPr="00EC10D9">
        <w:rPr>
          <w:rFonts w:cs="Arial"/>
        </w:rPr>
        <w:t>. https://doi.org/10.3389/fpsyg.2020.00628</w:t>
      </w:r>
    </w:p>
    <w:p w14:paraId="24A0CE7E" w14:textId="77777777" w:rsidR="00EC10D9" w:rsidRPr="00EC10D9" w:rsidRDefault="00EC10D9" w:rsidP="00EC10D9">
      <w:pPr>
        <w:pStyle w:val="Bibliography"/>
        <w:rPr>
          <w:rFonts w:cs="Arial"/>
        </w:rPr>
      </w:pPr>
      <w:r w:rsidRPr="00EC10D9">
        <w:rPr>
          <w:rFonts w:cs="Arial"/>
        </w:rPr>
        <w:t xml:space="preserve">Poulus, D., Coulter, T., Trotter, M., &amp; Polman, R. (2022). Perceived Stressors Experienced by Competitive Esports Athletes. </w:t>
      </w:r>
      <w:r w:rsidRPr="00EC10D9">
        <w:rPr>
          <w:rFonts w:cs="Arial"/>
          <w:i/>
          <w:iCs/>
        </w:rPr>
        <w:t>International Journal of Esports</w:t>
      </w:r>
      <w:r w:rsidRPr="00EC10D9">
        <w:rPr>
          <w:rFonts w:cs="Arial"/>
        </w:rPr>
        <w:t xml:space="preserve">, </w:t>
      </w:r>
      <w:r w:rsidRPr="00EC10D9">
        <w:rPr>
          <w:rFonts w:cs="Arial"/>
          <w:i/>
          <w:iCs/>
        </w:rPr>
        <w:t>1</w:t>
      </w:r>
      <w:r w:rsidRPr="00EC10D9">
        <w:rPr>
          <w:rFonts w:cs="Arial"/>
        </w:rPr>
        <w:t>(1), Article 1.</w:t>
      </w:r>
    </w:p>
    <w:p w14:paraId="481E8FF7" w14:textId="77777777" w:rsidR="00EC10D9" w:rsidRPr="00EC10D9" w:rsidRDefault="00EC10D9" w:rsidP="00EC10D9">
      <w:pPr>
        <w:pStyle w:val="Bibliography"/>
        <w:rPr>
          <w:rFonts w:cs="Arial"/>
        </w:rPr>
      </w:pPr>
      <w:r w:rsidRPr="00EC10D9">
        <w:rPr>
          <w:rFonts w:cs="Arial"/>
        </w:rPr>
        <w:t xml:space="preserve">Poulus, D. R., Coulter, T. J., Trotter, M. G., &amp; Polman, R. (2022a). A qualitative analysis of the perceived determinants of success in elite esports athletes. </w:t>
      </w:r>
      <w:r w:rsidRPr="00EC10D9">
        <w:rPr>
          <w:rFonts w:cs="Arial"/>
          <w:i/>
          <w:iCs/>
        </w:rPr>
        <w:t>Journal of Sports Sciences</w:t>
      </w:r>
      <w:r w:rsidRPr="00EC10D9">
        <w:rPr>
          <w:rFonts w:cs="Arial"/>
        </w:rPr>
        <w:t xml:space="preserve">, </w:t>
      </w:r>
      <w:r w:rsidRPr="00EC10D9">
        <w:rPr>
          <w:rFonts w:cs="Arial"/>
          <w:i/>
          <w:iCs/>
        </w:rPr>
        <w:t>40</w:t>
      </w:r>
      <w:r w:rsidRPr="00EC10D9">
        <w:rPr>
          <w:rFonts w:cs="Arial"/>
        </w:rPr>
        <w:t>(7), 742–753. https://doi.org/10.1080/02640414.2021.2015916</w:t>
      </w:r>
    </w:p>
    <w:p w14:paraId="5785C88D" w14:textId="77777777" w:rsidR="00EC10D9" w:rsidRPr="00EC10D9" w:rsidRDefault="00EC10D9" w:rsidP="00EC10D9">
      <w:pPr>
        <w:pStyle w:val="Bibliography"/>
        <w:rPr>
          <w:rFonts w:cs="Arial"/>
        </w:rPr>
      </w:pPr>
      <w:r w:rsidRPr="00EC10D9">
        <w:rPr>
          <w:rFonts w:cs="Arial"/>
        </w:rPr>
        <w:t xml:space="preserve">Poulus, D. R., Coulter, T. J., Trotter, M. G., &amp; Polman, R. (2022b). Longitudinal analysis of stressors, stress, coping and coping effectiveness in elite esports athletes. </w:t>
      </w:r>
      <w:r w:rsidRPr="00EC10D9">
        <w:rPr>
          <w:rFonts w:cs="Arial"/>
          <w:i/>
          <w:iCs/>
        </w:rPr>
        <w:t>Psychology of Sport and Exercise</w:t>
      </w:r>
      <w:r w:rsidRPr="00EC10D9">
        <w:rPr>
          <w:rFonts w:cs="Arial"/>
        </w:rPr>
        <w:t xml:space="preserve">, </w:t>
      </w:r>
      <w:r w:rsidRPr="00EC10D9">
        <w:rPr>
          <w:rFonts w:cs="Arial"/>
          <w:i/>
          <w:iCs/>
        </w:rPr>
        <w:t>60</w:t>
      </w:r>
      <w:r w:rsidRPr="00EC10D9">
        <w:rPr>
          <w:rFonts w:cs="Arial"/>
        </w:rPr>
        <w:t>, 102093. https://doi.org/10.1016/j.psychsport.2021.102093</w:t>
      </w:r>
    </w:p>
    <w:p w14:paraId="426BB08D" w14:textId="77777777" w:rsidR="00EC10D9" w:rsidRPr="00EC10D9" w:rsidRDefault="00EC10D9" w:rsidP="00EC10D9">
      <w:pPr>
        <w:pStyle w:val="Bibliography"/>
        <w:rPr>
          <w:rFonts w:cs="Arial"/>
        </w:rPr>
      </w:pPr>
      <w:r w:rsidRPr="00EC10D9">
        <w:rPr>
          <w:rFonts w:cs="Arial"/>
        </w:rPr>
        <w:t xml:space="preserve">Poulus, D. R., Sargeant, J., Zarate, D., Griffiths, M. D., &amp; Stavropoulos, V. (2024a). Burnout profiles among esports players: Associations with mental toughness and resilience. </w:t>
      </w:r>
      <w:r w:rsidRPr="00EC10D9">
        <w:rPr>
          <w:rFonts w:cs="Arial"/>
          <w:i/>
          <w:iCs/>
        </w:rPr>
        <w:t>Journal of Sports Sciences</w:t>
      </w:r>
      <w:r w:rsidRPr="00EC10D9">
        <w:rPr>
          <w:rFonts w:cs="Arial"/>
        </w:rPr>
        <w:t xml:space="preserve">, </w:t>
      </w:r>
      <w:r w:rsidRPr="00EC10D9">
        <w:rPr>
          <w:rFonts w:cs="Arial"/>
          <w:i/>
          <w:iCs/>
        </w:rPr>
        <w:t>0</w:t>
      </w:r>
      <w:r w:rsidRPr="00EC10D9">
        <w:rPr>
          <w:rFonts w:cs="Arial"/>
        </w:rPr>
        <w:t>(0), 1–10. https://doi.org/10.1080/02640414.2024.2405794</w:t>
      </w:r>
    </w:p>
    <w:p w14:paraId="3860D735" w14:textId="77777777" w:rsidR="00EC10D9" w:rsidRPr="00EC10D9" w:rsidRDefault="00EC10D9" w:rsidP="00EC10D9">
      <w:pPr>
        <w:pStyle w:val="Bibliography"/>
        <w:rPr>
          <w:rFonts w:cs="Arial"/>
        </w:rPr>
      </w:pPr>
      <w:r w:rsidRPr="00EC10D9">
        <w:rPr>
          <w:rFonts w:cs="Arial"/>
        </w:rPr>
        <w:t xml:space="preserve">Poulus, D. R., Sargeant, J., Zarate, D., Griffiths, M. D., &amp; Stavropoulos, V. (2024b). Burnout, resilience, and coping among esports players: A network analysis approach. </w:t>
      </w:r>
      <w:r w:rsidRPr="00EC10D9">
        <w:rPr>
          <w:rFonts w:cs="Arial"/>
          <w:i/>
          <w:iCs/>
        </w:rPr>
        <w:t>Computers in Human Behavior</w:t>
      </w:r>
      <w:r w:rsidRPr="00EC10D9">
        <w:rPr>
          <w:rFonts w:cs="Arial"/>
        </w:rPr>
        <w:t xml:space="preserve">, </w:t>
      </w:r>
      <w:r w:rsidRPr="00EC10D9">
        <w:rPr>
          <w:rFonts w:cs="Arial"/>
          <w:i/>
          <w:iCs/>
        </w:rPr>
        <w:t>153</w:t>
      </w:r>
      <w:r w:rsidRPr="00EC10D9">
        <w:rPr>
          <w:rFonts w:cs="Arial"/>
        </w:rPr>
        <w:t>, 108139. https://doi.org/10.1016/j.chb.2024.108139</w:t>
      </w:r>
    </w:p>
    <w:p w14:paraId="762CD8C1" w14:textId="77777777" w:rsidR="00EC10D9" w:rsidRPr="00EC10D9" w:rsidRDefault="00EC10D9" w:rsidP="00EC10D9">
      <w:pPr>
        <w:pStyle w:val="Bibliography"/>
        <w:rPr>
          <w:rFonts w:cs="Arial"/>
        </w:rPr>
      </w:pPr>
      <w:r w:rsidRPr="00EC10D9">
        <w:rPr>
          <w:rFonts w:cs="Arial"/>
        </w:rPr>
        <w:lastRenderedPageBreak/>
        <w:t xml:space="preserve">Poulus, D. R., Sharpe, B. T., Jackman, P. C., Swann, C., &amp; Bennett, K. J. M. (2024). Defining elite esports athletes: A scoping review. </w:t>
      </w:r>
      <w:r w:rsidRPr="00EC10D9">
        <w:rPr>
          <w:rFonts w:cs="Arial"/>
          <w:i/>
          <w:iCs/>
        </w:rPr>
        <w:t>International Review of Sport and Exercise Psychology</w:t>
      </w:r>
      <w:r w:rsidRPr="00EC10D9">
        <w:rPr>
          <w:rFonts w:cs="Arial"/>
        </w:rPr>
        <w:t xml:space="preserve">, </w:t>
      </w:r>
      <w:r w:rsidRPr="00EC10D9">
        <w:rPr>
          <w:rFonts w:cs="Arial"/>
          <w:i/>
          <w:iCs/>
        </w:rPr>
        <w:t>0</w:t>
      </w:r>
      <w:r w:rsidRPr="00EC10D9">
        <w:rPr>
          <w:rFonts w:cs="Arial"/>
        </w:rPr>
        <w:t>(0), 1–36. https://doi.org/10.1080/1750984X.2024.2386531</w:t>
      </w:r>
    </w:p>
    <w:p w14:paraId="31844F69" w14:textId="05EF178A" w:rsidR="00EC10D9" w:rsidRPr="00EC10D9" w:rsidRDefault="00EC10D9" w:rsidP="00EC10D9">
      <w:pPr>
        <w:pStyle w:val="Bibliography"/>
        <w:rPr>
          <w:rFonts w:cs="Arial"/>
        </w:rPr>
      </w:pPr>
      <w:r w:rsidRPr="00EC10D9">
        <w:rPr>
          <w:rFonts w:cs="Arial"/>
        </w:rPr>
        <w:t>Rees, T., Hardy, L., Güllich, A., Abernethy, B., Côté, J., Woodman, T., Montgomery, H., Laing, S., &amp; Warr, C. (2016). The Great British Medalists Project: A Review of Current Knowledge on the Development of the World</w:t>
      </w:r>
      <w:r w:rsidR="00DA1788">
        <w:rPr>
          <w:rFonts w:cs="Arial"/>
        </w:rPr>
        <w:t>'</w:t>
      </w:r>
      <w:r w:rsidRPr="00EC10D9">
        <w:rPr>
          <w:rFonts w:cs="Arial"/>
        </w:rPr>
        <w:t xml:space="preserve">s Best Sporting Talent. </w:t>
      </w:r>
      <w:r w:rsidRPr="00EC10D9">
        <w:rPr>
          <w:rFonts w:cs="Arial"/>
          <w:i/>
          <w:iCs/>
        </w:rPr>
        <w:t>Sports Medicine</w:t>
      </w:r>
      <w:r w:rsidRPr="00EC10D9">
        <w:rPr>
          <w:rFonts w:cs="Arial"/>
        </w:rPr>
        <w:t xml:space="preserve">, </w:t>
      </w:r>
      <w:r w:rsidRPr="00EC10D9">
        <w:rPr>
          <w:rFonts w:cs="Arial"/>
          <w:i/>
          <w:iCs/>
        </w:rPr>
        <w:t>46</w:t>
      </w:r>
      <w:r w:rsidRPr="00EC10D9">
        <w:rPr>
          <w:rFonts w:cs="Arial"/>
        </w:rPr>
        <w:t>(8), 1041–1058. https://doi.org/10.1007/s40279-016-0476-2</w:t>
      </w:r>
    </w:p>
    <w:p w14:paraId="3BE74D2E" w14:textId="77777777" w:rsidR="00EC10D9" w:rsidRPr="00EC10D9" w:rsidRDefault="00EC10D9" w:rsidP="00EC10D9">
      <w:pPr>
        <w:pStyle w:val="Bibliography"/>
        <w:rPr>
          <w:rFonts w:cs="Arial"/>
        </w:rPr>
      </w:pPr>
      <w:r w:rsidRPr="00EC10D9">
        <w:rPr>
          <w:rFonts w:cs="Arial"/>
        </w:rPr>
        <w:t xml:space="preserve">Reitman, J. G., Anderson-Coto, M. J., Wu, M., Lee, J. S., &amp; Steinkuehler, C. (2020). Esports Research: A Literature Review. </w:t>
      </w:r>
      <w:r w:rsidRPr="00EC10D9">
        <w:rPr>
          <w:rFonts w:cs="Arial"/>
          <w:i/>
          <w:iCs/>
        </w:rPr>
        <w:t>Games and Culture</w:t>
      </w:r>
      <w:r w:rsidRPr="00EC10D9">
        <w:rPr>
          <w:rFonts w:cs="Arial"/>
        </w:rPr>
        <w:t xml:space="preserve">, </w:t>
      </w:r>
      <w:r w:rsidRPr="00EC10D9">
        <w:rPr>
          <w:rFonts w:cs="Arial"/>
          <w:i/>
          <w:iCs/>
        </w:rPr>
        <w:t>15</w:t>
      </w:r>
      <w:r w:rsidRPr="00EC10D9">
        <w:rPr>
          <w:rFonts w:cs="Arial"/>
        </w:rPr>
        <w:t>(1), 32–50. https://doi.org/10.1177/1555412019840892</w:t>
      </w:r>
    </w:p>
    <w:p w14:paraId="3388B5FA" w14:textId="3707C367" w:rsidR="00EC10D9" w:rsidRPr="00EC10D9" w:rsidRDefault="00EC10D9" w:rsidP="00EC10D9">
      <w:pPr>
        <w:pStyle w:val="Bibliography"/>
        <w:rPr>
          <w:rFonts w:cs="Arial"/>
        </w:rPr>
      </w:pPr>
      <w:r w:rsidRPr="00EC10D9">
        <w:rPr>
          <w:rFonts w:cs="Arial"/>
        </w:rPr>
        <w:t xml:space="preserve">Stewart, J. (2024, May 1). </w:t>
      </w:r>
      <w:r w:rsidRPr="00EC10D9">
        <w:rPr>
          <w:rFonts w:cs="Arial"/>
          <w:i/>
          <w:iCs/>
        </w:rPr>
        <w:t>Why LoL</w:t>
      </w:r>
      <w:r w:rsidR="00DA1788">
        <w:rPr>
          <w:rFonts w:cs="Arial"/>
          <w:i/>
          <w:iCs/>
        </w:rPr>
        <w:t>'</w:t>
      </w:r>
      <w:r w:rsidRPr="00EC10D9">
        <w:rPr>
          <w:rFonts w:cs="Arial"/>
          <w:i/>
          <w:iCs/>
        </w:rPr>
        <w:t>s World Championships is the esports event you can</w:t>
      </w:r>
      <w:r w:rsidR="00DA1788">
        <w:rPr>
          <w:rFonts w:cs="Arial"/>
          <w:i/>
          <w:iCs/>
        </w:rPr>
        <w:t>'</w:t>
      </w:r>
      <w:r w:rsidRPr="00EC10D9">
        <w:rPr>
          <w:rFonts w:cs="Arial"/>
          <w:i/>
          <w:iCs/>
        </w:rPr>
        <w:t>t afford to miss</w:t>
      </w:r>
      <w:r w:rsidRPr="00EC10D9">
        <w:rPr>
          <w:rFonts w:cs="Arial"/>
        </w:rPr>
        <w:t>. Red Bull. https://www.redbull.com/au-en/league-of-legends-history-of-worlds</w:t>
      </w:r>
    </w:p>
    <w:p w14:paraId="1EBA109D" w14:textId="0FE08FC0" w:rsidR="00EC10D9" w:rsidRPr="00EC10D9" w:rsidRDefault="00EC10D9" w:rsidP="00EC10D9">
      <w:pPr>
        <w:pStyle w:val="Bibliography"/>
        <w:rPr>
          <w:rFonts w:cs="Arial"/>
        </w:rPr>
      </w:pPr>
      <w:r w:rsidRPr="00EC10D9">
        <w:rPr>
          <w:rFonts w:cs="Arial"/>
        </w:rPr>
        <w:t xml:space="preserve">Taifalos, N. (2024). </w:t>
      </w:r>
      <w:r w:rsidRPr="00EC10D9">
        <w:rPr>
          <w:rFonts w:cs="Arial"/>
          <w:i/>
          <w:iCs/>
        </w:rPr>
        <w:t xml:space="preserve">Riot </w:t>
      </w:r>
      <w:r w:rsidR="00DA1788">
        <w:rPr>
          <w:rFonts w:cs="Arial"/>
          <w:i/>
          <w:iCs/>
        </w:rPr>
        <w:t>"</w:t>
      </w:r>
      <w:r w:rsidRPr="00EC10D9">
        <w:rPr>
          <w:rFonts w:cs="Arial"/>
          <w:i/>
          <w:iCs/>
        </w:rPr>
        <w:t>exploring solutions</w:t>
      </w:r>
      <w:r w:rsidR="00DA1788">
        <w:rPr>
          <w:rFonts w:cs="Arial"/>
          <w:i/>
          <w:iCs/>
        </w:rPr>
        <w:t>"</w:t>
      </w:r>
      <w:r w:rsidRPr="00EC10D9">
        <w:rPr>
          <w:rFonts w:cs="Arial"/>
          <w:i/>
          <w:iCs/>
        </w:rPr>
        <w:t xml:space="preserve"> for new LoL circuit in Oceania just 4 years after last revamp</w:t>
      </w:r>
      <w:r w:rsidRPr="00EC10D9">
        <w:rPr>
          <w:rFonts w:cs="Arial"/>
        </w:rPr>
        <w:t>. Dot Esports. https://dotesports.com/league-of-legends/news/riot-exploring-solutions-for-new-lol-circuit-in-oceania-just-4-years-after-last-revamp</w:t>
      </w:r>
    </w:p>
    <w:p w14:paraId="631C13E0" w14:textId="77777777" w:rsidR="00EC10D9" w:rsidRPr="00EC10D9" w:rsidRDefault="00EC10D9" w:rsidP="00EC10D9">
      <w:pPr>
        <w:pStyle w:val="Bibliography"/>
        <w:rPr>
          <w:rFonts w:cs="Arial"/>
        </w:rPr>
      </w:pPr>
      <w:r w:rsidRPr="00EC10D9">
        <w:rPr>
          <w:rFonts w:cs="Arial"/>
        </w:rPr>
        <w:t xml:space="preserve">Ward, P., Hodges, N. J., Starkes, J. L., &amp; Williams, M. A. (2007). The road to excellence: Deliberate practice and the development of expertise. </w:t>
      </w:r>
      <w:r w:rsidRPr="00EC10D9">
        <w:rPr>
          <w:rFonts w:cs="Arial"/>
          <w:i/>
          <w:iCs/>
        </w:rPr>
        <w:t>High Ability Studies</w:t>
      </w:r>
      <w:r w:rsidRPr="00EC10D9">
        <w:rPr>
          <w:rFonts w:cs="Arial"/>
        </w:rPr>
        <w:t xml:space="preserve">, </w:t>
      </w:r>
      <w:r w:rsidRPr="00EC10D9">
        <w:rPr>
          <w:rFonts w:cs="Arial"/>
          <w:i/>
          <w:iCs/>
        </w:rPr>
        <w:t>18</w:t>
      </w:r>
      <w:r w:rsidRPr="00EC10D9">
        <w:rPr>
          <w:rFonts w:cs="Arial"/>
        </w:rPr>
        <w:t>(2), 119–153. https://doi.org/10.1080/13598130701709715</w:t>
      </w:r>
    </w:p>
    <w:p w14:paraId="47336519" w14:textId="77777777" w:rsidR="00EC10D9" w:rsidRPr="00EC10D9" w:rsidRDefault="00EC10D9" w:rsidP="00EC10D9">
      <w:pPr>
        <w:pStyle w:val="Bibliography"/>
        <w:rPr>
          <w:rFonts w:cs="Arial"/>
        </w:rPr>
      </w:pPr>
      <w:r w:rsidRPr="00EC10D9">
        <w:rPr>
          <w:rFonts w:cs="Arial"/>
        </w:rPr>
        <w:t xml:space="preserve">Zalamea, N. (2022, February 10). </w:t>
      </w:r>
      <w:r w:rsidRPr="00EC10D9">
        <w:rPr>
          <w:rFonts w:cs="Arial"/>
          <w:i/>
          <w:iCs/>
        </w:rPr>
        <w:t>This US$50M TSM esports performance center is the most expensive in the world | ONE Esports</w:t>
      </w:r>
      <w:r w:rsidRPr="00EC10D9">
        <w:rPr>
          <w:rFonts w:cs="Arial"/>
        </w:rPr>
        <w:t>. One Esports. https://www.oneesports.gg/gaming/tsm-esports-performance-center-expensive/</w:t>
      </w:r>
    </w:p>
    <w:p w14:paraId="73CFD752" w14:textId="07D21329" w:rsidR="00915FCD" w:rsidRPr="00246B76" w:rsidRDefault="00D63939" w:rsidP="00246B76">
      <w:r>
        <w:fldChar w:fldCharType="end"/>
      </w:r>
    </w:p>
    <w:sectPr w:rsidR="00915FCD" w:rsidRPr="00246B76" w:rsidSect="00B401E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3E56" w14:textId="77777777" w:rsidR="004F55DF" w:rsidRDefault="004F55DF" w:rsidP="00B401EB">
      <w:r>
        <w:separator/>
      </w:r>
    </w:p>
  </w:endnote>
  <w:endnote w:type="continuationSeparator" w:id="0">
    <w:p w14:paraId="276309E8" w14:textId="77777777" w:rsidR="004F55DF" w:rsidRDefault="004F55DF" w:rsidP="00B401EB">
      <w:r>
        <w:continuationSeparator/>
      </w:r>
    </w:p>
  </w:endnote>
  <w:endnote w:type="continuationNotice" w:id="1">
    <w:p w14:paraId="4A6799E7" w14:textId="77777777" w:rsidR="004F55DF" w:rsidRDefault="004F55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8691868"/>
      <w:docPartObj>
        <w:docPartGallery w:val="Page Numbers (Bottom of Page)"/>
        <w:docPartUnique/>
      </w:docPartObj>
    </w:sdtPr>
    <w:sdtEndPr>
      <w:rPr>
        <w:rStyle w:val="PageNumber"/>
      </w:rPr>
    </w:sdtEndPr>
    <w:sdtContent>
      <w:p w14:paraId="230BD8D4" w14:textId="7F070180" w:rsidR="00B401EB" w:rsidRDefault="00B401EB" w:rsidP="00D970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F646EE" w14:textId="77777777" w:rsidR="00B401EB" w:rsidRDefault="00B401EB" w:rsidP="00B401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8185522"/>
      <w:docPartObj>
        <w:docPartGallery w:val="Page Numbers (Bottom of Page)"/>
        <w:docPartUnique/>
      </w:docPartObj>
    </w:sdtPr>
    <w:sdtEndPr>
      <w:rPr>
        <w:rStyle w:val="PageNumber"/>
      </w:rPr>
    </w:sdtEndPr>
    <w:sdtContent>
      <w:p w14:paraId="409FEEDC" w14:textId="669CA18A" w:rsidR="00B401EB" w:rsidRDefault="00B401EB" w:rsidP="00D970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A150A7" w14:textId="41D4602E" w:rsidR="00B401EB" w:rsidRPr="00EE248D" w:rsidRDefault="00EE248D" w:rsidP="00EE248D">
    <w:pPr>
      <w:pStyle w:val="Footer"/>
      <w:ind w:right="360"/>
      <w:jc w:val="center"/>
      <w:rPr>
        <w:i/>
        <w:iCs/>
      </w:rPr>
    </w:pPr>
    <w:r>
      <w:rPr>
        <w:i/>
        <w:iCs/>
      </w:rPr>
      <w:t>Pre-print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51100" w14:textId="77777777" w:rsidR="00B1649D" w:rsidRDefault="00B16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5C6E" w14:textId="77777777" w:rsidR="004F55DF" w:rsidRDefault="004F55DF" w:rsidP="00B401EB">
      <w:r>
        <w:separator/>
      </w:r>
    </w:p>
  </w:footnote>
  <w:footnote w:type="continuationSeparator" w:id="0">
    <w:p w14:paraId="0F1E5C6E" w14:textId="77777777" w:rsidR="004F55DF" w:rsidRDefault="004F55DF" w:rsidP="00B401EB">
      <w:r>
        <w:continuationSeparator/>
      </w:r>
    </w:p>
  </w:footnote>
  <w:footnote w:type="continuationNotice" w:id="1">
    <w:p w14:paraId="37DE1911" w14:textId="77777777" w:rsidR="004F55DF" w:rsidRDefault="004F55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55F4" w14:textId="77777777" w:rsidR="00B1649D" w:rsidRDefault="00B16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9F9D" w14:textId="77777777" w:rsidR="00B1649D" w:rsidRDefault="00B16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D8C1" w14:textId="77777777" w:rsidR="00B1649D" w:rsidRDefault="00B1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C6CE3"/>
    <w:multiLevelType w:val="hybridMultilevel"/>
    <w:tmpl w:val="5AEC9452"/>
    <w:lvl w:ilvl="0" w:tplc="D408BD4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F52082A"/>
    <w:multiLevelType w:val="hybridMultilevel"/>
    <w:tmpl w:val="419EA910"/>
    <w:lvl w:ilvl="0" w:tplc="FDBE2CA6">
      <w:start w:val="5"/>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BC80437"/>
    <w:multiLevelType w:val="hybridMultilevel"/>
    <w:tmpl w:val="CEDC8C3C"/>
    <w:lvl w:ilvl="0" w:tplc="5010D6B0">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9B0D4E"/>
    <w:multiLevelType w:val="hybridMultilevel"/>
    <w:tmpl w:val="334C4D5E"/>
    <w:lvl w:ilvl="0" w:tplc="6966DA74">
      <w:start w:val="5"/>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7AA68F5"/>
    <w:multiLevelType w:val="multilevel"/>
    <w:tmpl w:val="450AED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A3C6B5D"/>
    <w:multiLevelType w:val="multilevel"/>
    <w:tmpl w:val="450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42FF2"/>
    <w:multiLevelType w:val="multilevel"/>
    <w:tmpl w:val="0F881668"/>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7" w15:restartNumberingAfterBreak="0">
    <w:nsid w:val="762B13FE"/>
    <w:multiLevelType w:val="hybridMultilevel"/>
    <w:tmpl w:val="8D8A637A"/>
    <w:lvl w:ilvl="0" w:tplc="EF4A9E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SwMDQ3MDMxMDQzMTNS0lEKTi0uzszPAykwNqgFALsQfowtAAAA"/>
  </w:docVars>
  <w:rsids>
    <w:rsidRoot w:val="00C56968"/>
    <w:rsid w:val="00002AE0"/>
    <w:rsid w:val="00003095"/>
    <w:rsid w:val="00003299"/>
    <w:rsid w:val="00003CFA"/>
    <w:rsid w:val="000052AC"/>
    <w:rsid w:val="00005BFE"/>
    <w:rsid w:val="00011B27"/>
    <w:rsid w:val="00012336"/>
    <w:rsid w:val="00012351"/>
    <w:rsid w:val="00013870"/>
    <w:rsid w:val="00013A4C"/>
    <w:rsid w:val="000153DC"/>
    <w:rsid w:val="000172E0"/>
    <w:rsid w:val="000212BD"/>
    <w:rsid w:val="000220BF"/>
    <w:rsid w:val="00025CF4"/>
    <w:rsid w:val="00025FE9"/>
    <w:rsid w:val="000262AD"/>
    <w:rsid w:val="00026FF2"/>
    <w:rsid w:val="00030C1C"/>
    <w:rsid w:val="00030C2F"/>
    <w:rsid w:val="00031197"/>
    <w:rsid w:val="000317E9"/>
    <w:rsid w:val="00031EF8"/>
    <w:rsid w:val="00035565"/>
    <w:rsid w:val="00041A83"/>
    <w:rsid w:val="0004225D"/>
    <w:rsid w:val="00043C77"/>
    <w:rsid w:val="00044C85"/>
    <w:rsid w:val="00044F6B"/>
    <w:rsid w:val="00047CAA"/>
    <w:rsid w:val="00050096"/>
    <w:rsid w:val="000504D6"/>
    <w:rsid w:val="000527A8"/>
    <w:rsid w:val="0005283A"/>
    <w:rsid w:val="0005404B"/>
    <w:rsid w:val="0005514C"/>
    <w:rsid w:val="00056345"/>
    <w:rsid w:val="00061D64"/>
    <w:rsid w:val="0006252D"/>
    <w:rsid w:val="000626FF"/>
    <w:rsid w:val="00063A03"/>
    <w:rsid w:val="000642BB"/>
    <w:rsid w:val="00067CFE"/>
    <w:rsid w:val="00071DBB"/>
    <w:rsid w:val="00072D5E"/>
    <w:rsid w:val="000747F4"/>
    <w:rsid w:val="00074ADF"/>
    <w:rsid w:val="00080C64"/>
    <w:rsid w:val="000812D4"/>
    <w:rsid w:val="0008313F"/>
    <w:rsid w:val="00085021"/>
    <w:rsid w:val="00086485"/>
    <w:rsid w:val="000876F3"/>
    <w:rsid w:val="0009057F"/>
    <w:rsid w:val="0009392D"/>
    <w:rsid w:val="00093BCF"/>
    <w:rsid w:val="00094FA0"/>
    <w:rsid w:val="00095F9A"/>
    <w:rsid w:val="000A08A0"/>
    <w:rsid w:val="000A1DCB"/>
    <w:rsid w:val="000A32F0"/>
    <w:rsid w:val="000A4062"/>
    <w:rsid w:val="000A45DD"/>
    <w:rsid w:val="000A46EC"/>
    <w:rsid w:val="000A67A8"/>
    <w:rsid w:val="000A76D8"/>
    <w:rsid w:val="000B14EB"/>
    <w:rsid w:val="000B462B"/>
    <w:rsid w:val="000B5EDB"/>
    <w:rsid w:val="000B7D5F"/>
    <w:rsid w:val="000C18A7"/>
    <w:rsid w:val="000C4AB3"/>
    <w:rsid w:val="000C7EAE"/>
    <w:rsid w:val="000D03CC"/>
    <w:rsid w:val="000D1AC5"/>
    <w:rsid w:val="000D1C8B"/>
    <w:rsid w:val="000E0420"/>
    <w:rsid w:val="000E0ACF"/>
    <w:rsid w:val="000E12EA"/>
    <w:rsid w:val="000E28D3"/>
    <w:rsid w:val="000E60BD"/>
    <w:rsid w:val="000E76D2"/>
    <w:rsid w:val="000F08DE"/>
    <w:rsid w:val="000F1960"/>
    <w:rsid w:val="000F1AF5"/>
    <w:rsid w:val="000F1B52"/>
    <w:rsid w:val="000F431D"/>
    <w:rsid w:val="000F54E8"/>
    <w:rsid w:val="000F6314"/>
    <w:rsid w:val="00100E79"/>
    <w:rsid w:val="0010115A"/>
    <w:rsid w:val="001028AD"/>
    <w:rsid w:val="00104BDB"/>
    <w:rsid w:val="00105860"/>
    <w:rsid w:val="00106B1A"/>
    <w:rsid w:val="00107DAC"/>
    <w:rsid w:val="00111D7F"/>
    <w:rsid w:val="00112C13"/>
    <w:rsid w:val="001204E2"/>
    <w:rsid w:val="00121AF9"/>
    <w:rsid w:val="00121D0B"/>
    <w:rsid w:val="00122DCF"/>
    <w:rsid w:val="00123539"/>
    <w:rsid w:val="00124953"/>
    <w:rsid w:val="001256FE"/>
    <w:rsid w:val="0012572D"/>
    <w:rsid w:val="00126D7C"/>
    <w:rsid w:val="00126F35"/>
    <w:rsid w:val="001320AF"/>
    <w:rsid w:val="001354AF"/>
    <w:rsid w:val="001401AC"/>
    <w:rsid w:val="00141F09"/>
    <w:rsid w:val="00143F0F"/>
    <w:rsid w:val="00151205"/>
    <w:rsid w:val="00151850"/>
    <w:rsid w:val="00152313"/>
    <w:rsid w:val="001525BC"/>
    <w:rsid w:val="00153552"/>
    <w:rsid w:val="00153B9A"/>
    <w:rsid w:val="0015625E"/>
    <w:rsid w:val="001572D2"/>
    <w:rsid w:val="00157E2E"/>
    <w:rsid w:val="00161498"/>
    <w:rsid w:val="001622FF"/>
    <w:rsid w:val="00163AB7"/>
    <w:rsid w:val="001646E3"/>
    <w:rsid w:val="00165AC8"/>
    <w:rsid w:val="00165AD9"/>
    <w:rsid w:val="00167554"/>
    <w:rsid w:val="00170624"/>
    <w:rsid w:val="00171512"/>
    <w:rsid w:val="001717D5"/>
    <w:rsid w:val="00172A01"/>
    <w:rsid w:val="001735AA"/>
    <w:rsid w:val="00173E54"/>
    <w:rsid w:val="00174D45"/>
    <w:rsid w:val="00174DF0"/>
    <w:rsid w:val="001755BB"/>
    <w:rsid w:val="00175AA2"/>
    <w:rsid w:val="00180B6A"/>
    <w:rsid w:val="00181781"/>
    <w:rsid w:val="00181909"/>
    <w:rsid w:val="00181C0B"/>
    <w:rsid w:val="00182FB1"/>
    <w:rsid w:val="00183065"/>
    <w:rsid w:val="00183973"/>
    <w:rsid w:val="00186AD5"/>
    <w:rsid w:val="001901D7"/>
    <w:rsid w:val="0019199C"/>
    <w:rsid w:val="001963DB"/>
    <w:rsid w:val="001965A1"/>
    <w:rsid w:val="00197066"/>
    <w:rsid w:val="00197782"/>
    <w:rsid w:val="001A0537"/>
    <w:rsid w:val="001A127E"/>
    <w:rsid w:val="001A2A57"/>
    <w:rsid w:val="001A3C49"/>
    <w:rsid w:val="001A4C6A"/>
    <w:rsid w:val="001A4FC1"/>
    <w:rsid w:val="001A68F7"/>
    <w:rsid w:val="001B39C9"/>
    <w:rsid w:val="001B4488"/>
    <w:rsid w:val="001B4621"/>
    <w:rsid w:val="001B6E51"/>
    <w:rsid w:val="001C02DA"/>
    <w:rsid w:val="001C0639"/>
    <w:rsid w:val="001C0A09"/>
    <w:rsid w:val="001C0A1E"/>
    <w:rsid w:val="001C2EAA"/>
    <w:rsid w:val="001C326C"/>
    <w:rsid w:val="001C485C"/>
    <w:rsid w:val="001C5472"/>
    <w:rsid w:val="001C5EDF"/>
    <w:rsid w:val="001C6DD5"/>
    <w:rsid w:val="001C7AB5"/>
    <w:rsid w:val="001D1774"/>
    <w:rsid w:val="001D2977"/>
    <w:rsid w:val="001D3761"/>
    <w:rsid w:val="001D3896"/>
    <w:rsid w:val="001D492C"/>
    <w:rsid w:val="001D7019"/>
    <w:rsid w:val="001E0A2D"/>
    <w:rsid w:val="001E1D05"/>
    <w:rsid w:val="001E2217"/>
    <w:rsid w:val="001E3287"/>
    <w:rsid w:val="001E392F"/>
    <w:rsid w:val="001E6810"/>
    <w:rsid w:val="001E6AF0"/>
    <w:rsid w:val="001E6E14"/>
    <w:rsid w:val="001F1243"/>
    <w:rsid w:val="001F1864"/>
    <w:rsid w:val="001F2EC6"/>
    <w:rsid w:val="001F5646"/>
    <w:rsid w:val="00201BDE"/>
    <w:rsid w:val="00202A74"/>
    <w:rsid w:val="002031C4"/>
    <w:rsid w:val="00205286"/>
    <w:rsid w:val="0020583C"/>
    <w:rsid w:val="00206C77"/>
    <w:rsid w:val="00206CD8"/>
    <w:rsid w:val="00206D3A"/>
    <w:rsid w:val="00207CAF"/>
    <w:rsid w:val="00211713"/>
    <w:rsid w:val="00211C9C"/>
    <w:rsid w:val="00215BCA"/>
    <w:rsid w:val="002169DE"/>
    <w:rsid w:val="002171C0"/>
    <w:rsid w:val="00220175"/>
    <w:rsid w:val="00220552"/>
    <w:rsid w:val="002205BB"/>
    <w:rsid w:val="00221F12"/>
    <w:rsid w:val="00222638"/>
    <w:rsid w:val="00223BA3"/>
    <w:rsid w:val="00227656"/>
    <w:rsid w:val="00227EBD"/>
    <w:rsid w:val="00230688"/>
    <w:rsid w:val="00230885"/>
    <w:rsid w:val="00233285"/>
    <w:rsid w:val="0023526E"/>
    <w:rsid w:val="002366B5"/>
    <w:rsid w:val="0023765F"/>
    <w:rsid w:val="00242033"/>
    <w:rsid w:val="002429A3"/>
    <w:rsid w:val="00242CF9"/>
    <w:rsid w:val="00242D2B"/>
    <w:rsid w:val="002459ED"/>
    <w:rsid w:val="0024630E"/>
    <w:rsid w:val="002466C8"/>
    <w:rsid w:val="00246B76"/>
    <w:rsid w:val="00247200"/>
    <w:rsid w:val="0024728A"/>
    <w:rsid w:val="00247727"/>
    <w:rsid w:val="00247DAD"/>
    <w:rsid w:val="00247EFC"/>
    <w:rsid w:val="002508D7"/>
    <w:rsid w:val="002517EA"/>
    <w:rsid w:val="0025197B"/>
    <w:rsid w:val="00254A43"/>
    <w:rsid w:val="00255C7A"/>
    <w:rsid w:val="00256FC2"/>
    <w:rsid w:val="00257B49"/>
    <w:rsid w:val="00257B6E"/>
    <w:rsid w:val="00257C1D"/>
    <w:rsid w:val="00263AA8"/>
    <w:rsid w:val="00264123"/>
    <w:rsid w:val="00264A00"/>
    <w:rsid w:val="0027023F"/>
    <w:rsid w:val="002707C9"/>
    <w:rsid w:val="00270B3C"/>
    <w:rsid w:val="00271B2A"/>
    <w:rsid w:val="00273390"/>
    <w:rsid w:val="002847A9"/>
    <w:rsid w:val="00284E8A"/>
    <w:rsid w:val="00285419"/>
    <w:rsid w:val="0028542A"/>
    <w:rsid w:val="00286AA8"/>
    <w:rsid w:val="002900A6"/>
    <w:rsid w:val="00290975"/>
    <w:rsid w:val="00292970"/>
    <w:rsid w:val="0029326F"/>
    <w:rsid w:val="00293411"/>
    <w:rsid w:val="00295D64"/>
    <w:rsid w:val="00297C70"/>
    <w:rsid w:val="002A0DFD"/>
    <w:rsid w:val="002A266A"/>
    <w:rsid w:val="002A2ACB"/>
    <w:rsid w:val="002A2DCE"/>
    <w:rsid w:val="002A2E57"/>
    <w:rsid w:val="002A4D16"/>
    <w:rsid w:val="002A5B44"/>
    <w:rsid w:val="002A75B1"/>
    <w:rsid w:val="002A7FF7"/>
    <w:rsid w:val="002B0858"/>
    <w:rsid w:val="002B2333"/>
    <w:rsid w:val="002B6326"/>
    <w:rsid w:val="002B63C6"/>
    <w:rsid w:val="002B6A0F"/>
    <w:rsid w:val="002B7F14"/>
    <w:rsid w:val="002C2DCD"/>
    <w:rsid w:val="002C5134"/>
    <w:rsid w:val="002D25F9"/>
    <w:rsid w:val="002D40F9"/>
    <w:rsid w:val="002D569B"/>
    <w:rsid w:val="002D7FD9"/>
    <w:rsid w:val="002E015D"/>
    <w:rsid w:val="002E079D"/>
    <w:rsid w:val="002E1D02"/>
    <w:rsid w:val="002E3AC8"/>
    <w:rsid w:val="002E4F4E"/>
    <w:rsid w:val="002E6B9C"/>
    <w:rsid w:val="002F0901"/>
    <w:rsid w:val="002F0E8D"/>
    <w:rsid w:val="002F40B7"/>
    <w:rsid w:val="002F794D"/>
    <w:rsid w:val="00300DE9"/>
    <w:rsid w:val="003016A0"/>
    <w:rsid w:val="00301CD6"/>
    <w:rsid w:val="00302A32"/>
    <w:rsid w:val="00302FD0"/>
    <w:rsid w:val="0030321F"/>
    <w:rsid w:val="003058BA"/>
    <w:rsid w:val="003060D1"/>
    <w:rsid w:val="00307F43"/>
    <w:rsid w:val="0031058C"/>
    <w:rsid w:val="00310E78"/>
    <w:rsid w:val="00312D2E"/>
    <w:rsid w:val="00313666"/>
    <w:rsid w:val="00313BC6"/>
    <w:rsid w:val="00315EBC"/>
    <w:rsid w:val="0032136B"/>
    <w:rsid w:val="00322CA3"/>
    <w:rsid w:val="00323904"/>
    <w:rsid w:val="00325E31"/>
    <w:rsid w:val="00331793"/>
    <w:rsid w:val="00332564"/>
    <w:rsid w:val="00333C77"/>
    <w:rsid w:val="003353E7"/>
    <w:rsid w:val="00340064"/>
    <w:rsid w:val="0034113D"/>
    <w:rsid w:val="0034251A"/>
    <w:rsid w:val="0034514B"/>
    <w:rsid w:val="003475D4"/>
    <w:rsid w:val="003521B8"/>
    <w:rsid w:val="00352BE6"/>
    <w:rsid w:val="00355286"/>
    <w:rsid w:val="00355691"/>
    <w:rsid w:val="00355F3B"/>
    <w:rsid w:val="00357FE3"/>
    <w:rsid w:val="00360384"/>
    <w:rsid w:val="00363C8A"/>
    <w:rsid w:val="00364F4D"/>
    <w:rsid w:val="00365DEF"/>
    <w:rsid w:val="0036721A"/>
    <w:rsid w:val="00367ECB"/>
    <w:rsid w:val="00370D08"/>
    <w:rsid w:val="00371EAC"/>
    <w:rsid w:val="00371ECF"/>
    <w:rsid w:val="00371FEF"/>
    <w:rsid w:val="003724E4"/>
    <w:rsid w:val="00372B0C"/>
    <w:rsid w:val="00373860"/>
    <w:rsid w:val="00374CF9"/>
    <w:rsid w:val="00377B0B"/>
    <w:rsid w:val="003811BD"/>
    <w:rsid w:val="0038177E"/>
    <w:rsid w:val="00382C91"/>
    <w:rsid w:val="0038419E"/>
    <w:rsid w:val="00384B39"/>
    <w:rsid w:val="00386E1E"/>
    <w:rsid w:val="003877B7"/>
    <w:rsid w:val="003918BA"/>
    <w:rsid w:val="0039306B"/>
    <w:rsid w:val="00394260"/>
    <w:rsid w:val="00396A92"/>
    <w:rsid w:val="00397AAA"/>
    <w:rsid w:val="003A24C9"/>
    <w:rsid w:val="003A297F"/>
    <w:rsid w:val="003A558B"/>
    <w:rsid w:val="003A5649"/>
    <w:rsid w:val="003A6FF7"/>
    <w:rsid w:val="003B06B9"/>
    <w:rsid w:val="003B0913"/>
    <w:rsid w:val="003B1D4A"/>
    <w:rsid w:val="003B523B"/>
    <w:rsid w:val="003B78B3"/>
    <w:rsid w:val="003C0D5A"/>
    <w:rsid w:val="003C127A"/>
    <w:rsid w:val="003C18CB"/>
    <w:rsid w:val="003C3261"/>
    <w:rsid w:val="003D06B3"/>
    <w:rsid w:val="003D17C6"/>
    <w:rsid w:val="003D60F8"/>
    <w:rsid w:val="003E0238"/>
    <w:rsid w:val="003E250D"/>
    <w:rsid w:val="003E391B"/>
    <w:rsid w:val="003E3E3C"/>
    <w:rsid w:val="003E466D"/>
    <w:rsid w:val="003E4DA6"/>
    <w:rsid w:val="003E5837"/>
    <w:rsid w:val="003E6562"/>
    <w:rsid w:val="003F07A1"/>
    <w:rsid w:val="003F54B4"/>
    <w:rsid w:val="003F66F2"/>
    <w:rsid w:val="0040005B"/>
    <w:rsid w:val="004018C6"/>
    <w:rsid w:val="00402D21"/>
    <w:rsid w:val="004050E3"/>
    <w:rsid w:val="00405D01"/>
    <w:rsid w:val="00410D51"/>
    <w:rsid w:val="0041190E"/>
    <w:rsid w:val="0041197B"/>
    <w:rsid w:val="00417293"/>
    <w:rsid w:val="0041734D"/>
    <w:rsid w:val="004213CE"/>
    <w:rsid w:val="00422112"/>
    <w:rsid w:val="0042367A"/>
    <w:rsid w:val="004247AF"/>
    <w:rsid w:val="00424BA9"/>
    <w:rsid w:val="00427B53"/>
    <w:rsid w:val="0043257F"/>
    <w:rsid w:val="00433A7B"/>
    <w:rsid w:val="0043530D"/>
    <w:rsid w:val="00435885"/>
    <w:rsid w:val="004363BF"/>
    <w:rsid w:val="00437E14"/>
    <w:rsid w:val="00441871"/>
    <w:rsid w:val="00443D75"/>
    <w:rsid w:val="0044521F"/>
    <w:rsid w:val="00445904"/>
    <w:rsid w:val="00445999"/>
    <w:rsid w:val="00445CB2"/>
    <w:rsid w:val="0044656A"/>
    <w:rsid w:val="00446BA3"/>
    <w:rsid w:val="004502B0"/>
    <w:rsid w:val="00450E68"/>
    <w:rsid w:val="004521DF"/>
    <w:rsid w:val="004528BD"/>
    <w:rsid w:val="00453CE3"/>
    <w:rsid w:val="00453F52"/>
    <w:rsid w:val="00454AE7"/>
    <w:rsid w:val="004554A6"/>
    <w:rsid w:val="00456620"/>
    <w:rsid w:val="00457534"/>
    <w:rsid w:val="00460DD1"/>
    <w:rsid w:val="00461174"/>
    <w:rsid w:val="004611E9"/>
    <w:rsid w:val="00462409"/>
    <w:rsid w:val="00462E1E"/>
    <w:rsid w:val="00463BE6"/>
    <w:rsid w:val="00463ED6"/>
    <w:rsid w:val="00466347"/>
    <w:rsid w:val="00467CE7"/>
    <w:rsid w:val="00470882"/>
    <w:rsid w:val="0047357E"/>
    <w:rsid w:val="00474BDD"/>
    <w:rsid w:val="00476DD0"/>
    <w:rsid w:val="004800A7"/>
    <w:rsid w:val="004806FF"/>
    <w:rsid w:val="00482493"/>
    <w:rsid w:val="00482999"/>
    <w:rsid w:val="00483567"/>
    <w:rsid w:val="00483BCA"/>
    <w:rsid w:val="00484CDA"/>
    <w:rsid w:val="00486078"/>
    <w:rsid w:val="004868A0"/>
    <w:rsid w:val="00486B0E"/>
    <w:rsid w:val="004904B5"/>
    <w:rsid w:val="00490801"/>
    <w:rsid w:val="004933C1"/>
    <w:rsid w:val="004945D3"/>
    <w:rsid w:val="00497594"/>
    <w:rsid w:val="004A0089"/>
    <w:rsid w:val="004A2528"/>
    <w:rsid w:val="004A4982"/>
    <w:rsid w:val="004A4F75"/>
    <w:rsid w:val="004A5327"/>
    <w:rsid w:val="004A6E33"/>
    <w:rsid w:val="004A7134"/>
    <w:rsid w:val="004B10BE"/>
    <w:rsid w:val="004B12D5"/>
    <w:rsid w:val="004B18E3"/>
    <w:rsid w:val="004B2292"/>
    <w:rsid w:val="004B37A8"/>
    <w:rsid w:val="004B4572"/>
    <w:rsid w:val="004B4E0F"/>
    <w:rsid w:val="004B4EFF"/>
    <w:rsid w:val="004B7469"/>
    <w:rsid w:val="004C03F3"/>
    <w:rsid w:val="004C0A8E"/>
    <w:rsid w:val="004C3F39"/>
    <w:rsid w:val="004C4D0D"/>
    <w:rsid w:val="004C688B"/>
    <w:rsid w:val="004D79EA"/>
    <w:rsid w:val="004E0359"/>
    <w:rsid w:val="004E05A5"/>
    <w:rsid w:val="004E094E"/>
    <w:rsid w:val="004E0E54"/>
    <w:rsid w:val="004E5C6D"/>
    <w:rsid w:val="004E6B93"/>
    <w:rsid w:val="004E77CA"/>
    <w:rsid w:val="004F0F90"/>
    <w:rsid w:val="004F10F0"/>
    <w:rsid w:val="004F1D95"/>
    <w:rsid w:val="004F2DA5"/>
    <w:rsid w:val="004F2E08"/>
    <w:rsid w:val="004F38FB"/>
    <w:rsid w:val="004F55DF"/>
    <w:rsid w:val="004F5F22"/>
    <w:rsid w:val="004F7930"/>
    <w:rsid w:val="00500018"/>
    <w:rsid w:val="0050002D"/>
    <w:rsid w:val="005002F6"/>
    <w:rsid w:val="00502A24"/>
    <w:rsid w:val="0050469A"/>
    <w:rsid w:val="005047EB"/>
    <w:rsid w:val="0050675A"/>
    <w:rsid w:val="00507DF8"/>
    <w:rsid w:val="00512A73"/>
    <w:rsid w:val="00512D29"/>
    <w:rsid w:val="00513758"/>
    <w:rsid w:val="005165DE"/>
    <w:rsid w:val="00517998"/>
    <w:rsid w:val="0052157D"/>
    <w:rsid w:val="00521914"/>
    <w:rsid w:val="005249BB"/>
    <w:rsid w:val="00526634"/>
    <w:rsid w:val="005269B9"/>
    <w:rsid w:val="00527B97"/>
    <w:rsid w:val="00527BF0"/>
    <w:rsid w:val="005300B7"/>
    <w:rsid w:val="00531B98"/>
    <w:rsid w:val="00532471"/>
    <w:rsid w:val="00534027"/>
    <w:rsid w:val="00534E3C"/>
    <w:rsid w:val="00536BD6"/>
    <w:rsid w:val="00540B70"/>
    <w:rsid w:val="00541858"/>
    <w:rsid w:val="00543634"/>
    <w:rsid w:val="00543E6A"/>
    <w:rsid w:val="005446E7"/>
    <w:rsid w:val="005452E8"/>
    <w:rsid w:val="00545359"/>
    <w:rsid w:val="005460CB"/>
    <w:rsid w:val="00550945"/>
    <w:rsid w:val="00551969"/>
    <w:rsid w:val="00551C82"/>
    <w:rsid w:val="00552F42"/>
    <w:rsid w:val="0055302D"/>
    <w:rsid w:val="00555E99"/>
    <w:rsid w:val="0056208A"/>
    <w:rsid w:val="005628A2"/>
    <w:rsid w:val="005629AE"/>
    <w:rsid w:val="00562BF4"/>
    <w:rsid w:val="005633D5"/>
    <w:rsid w:val="00563FF9"/>
    <w:rsid w:val="00565547"/>
    <w:rsid w:val="00567C6A"/>
    <w:rsid w:val="005712A4"/>
    <w:rsid w:val="00573652"/>
    <w:rsid w:val="005759C7"/>
    <w:rsid w:val="00575EC0"/>
    <w:rsid w:val="005762D5"/>
    <w:rsid w:val="0058076D"/>
    <w:rsid w:val="00581171"/>
    <w:rsid w:val="00584FFB"/>
    <w:rsid w:val="00587BB8"/>
    <w:rsid w:val="0059369D"/>
    <w:rsid w:val="00593BF5"/>
    <w:rsid w:val="00594E30"/>
    <w:rsid w:val="00597C4B"/>
    <w:rsid w:val="005A21F1"/>
    <w:rsid w:val="005A2EAA"/>
    <w:rsid w:val="005A30B0"/>
    <w:rsid w:val="005A397E"/>
    <w:rsid w:val="005A532B"/>
    <w:rsid w:val="005B002B"/>
    <w:rsid w:val="005B06EB"/>
    <w:rsid w:val="005B57CF"/>
    <w:rsid w:val="005B6135"/>
    <w:rsid w:val="005B6CF7"/>
    <w:rsid w:val="005B754A"/>
    <w:rsid w:val="005C06E9"/>
    <w:rsid w:val="005C3A1A"/>
    <w:rsid w:val="005C5250"/>
    <w:rsid w:val="005C5D35"/>
    <w:rsid w:val="005D02D9"/>
    <w:rsid w:val="005D04E3"/>
    <w:rsid w:val="005D4CA3"/>
    <w:rsid w:val="005D5836"/>
    <w:rsid w:val="005D6B3B"/>
    <w:rsid w:val="005D7150"/>
    <w:rsid w:val="005E1991"/>
    <w:rsid w:val="005E1FB1"/>
    <w:rsid w:val="005E2873"/>
    <w:rsid w:val="005E2934"/>
    <w:rsid w:val="005E2D0D"/>
    <w:rsid w:val="005E40DB"/>
    <w:rsid w:val="005E53BC"/>
    <w:rsid w:val="005E5DEA"/>
    <w:rsid w:val="005E75D9"/>
    <w:rsid w:val="005F12AC"/>
    <w:rsid w:val="005F1733"/>
    <w:rsid w:val="005F2958"/>
    <w:rsid w:val="005F310B"/>
    <w:rsid w:val="005F63A2"/>
    <w:rsid w:val="005F77D5"/>
    <w:rsid w:val="00603D39"/>
    <w:rsid w:val="00604B6B"/>
    <w:rsid w:val="00611145"/>
    <w:rsid w:val="006138D3"/>
    <w:rsid w:val="0061390D"/>
    <w:rsid w:val="00613BF4"/>
    <w:rsid w:val="00614323"/>
    <w:rsid w:val="00616D28"/>
    <w:rsid w:val="00617EC2"/>
    <w:rsid w:val="006201CD"/>
    <w:rsid w:val="00622F25"/>
    <w:rsid w:val="0062630B"/>
    <w:rsid w:val="00626FC6"/>
    <w:rsid w:val="006302CF"/>
    <w:rsid w:val="00631F77"/>
    <w:rsid w:val="00632281"/>
    <w:rsid w:val="00632D93"/>
    <w:rsid w:val="00633F1C"/>
    <w:rsid w:val="00634844"/>
    <w:rsid w:val="00635270"/>
    <w:rsid w:val="00635F64"/>
    <w:rsid w:val="00636DFF"/>
    <w:rsid w:val="00640637"/>
    <w:rsid w:val="00640A73"/>
    <w:rsid w:val="0064325F"/>
    <w:rsid w:val="00643DD6"/>
    <w:rsid w:val="0064449E"/>
    <w:rsid w:val="00644835"/>
    <w:rsid w:val="00644B35"/>
    <w:rsid w:val="006462CD"/>
    <w:rsid w:val="00646BB5"/>
    <w:rsid w:val="006524BB"/>
    <w:rsid w:val="006526C8"/>
    <w:rsid w:val="00652CDD"/>
    <w:rsid w:val="006550B6"/>
    <w:rsid w:val="00655C15"/>
    <w:rsid w:val="00656935"/>
    <w:rsid w:val="006574F1"/>
    <w:rsid w:val="00662A63"/>
    <w:rsid w:val="00663DD0"/>
    <w:rsid w:val="00665AE9"/>
    <w:rsid w:val="00672FAC"/>
    <w:rsid w:val="006731E3"/>
    <w:rsid w:val="00675044"/>
    <w:rsid w:val="00675179"/>
    <w:rsid w:val="006753E6"/>
    <w:rsid w:val="0067660A"/>
    <w:rsid w:val="00677E37"/>
    <w:rsid w:val="00680353"/>
    <w:rsid w:val="0068387D"/>
    <w:rsid w:val="006869BC"/>
    <w:rsid w:val="00692768"/>
    <w:rsid w:val="006971FA"/>
    <w:rsid w:val="006A18E7"/>
    <w:rsid w:val="006A1B80"/>
    <w:rsid w:val="006A32DE"/>
    <w:rsid w:val="006A44D3"/>
    <w:rsid w:val="006A5482"/>
    <w:rsid w:val="006A54B0"/>
    <w:rsid w:val="006A76A0"/>
    <w:rsid w:val="006B091E"/>
    <w:rsid w:val="006B0B26"/>
    <w:rsid w:val="006B1DBC"/>
    <w:rsid w:val="006B38D7"/>
    <w:rsid w:val="006B486F"/>
    <w:rsid w:val="006C10BE"/>
    <w:rsid w:val="006C12DE"/>
    <w:rsid w:val="006C1CA3"/>
    <w:rsid w:val="006C53D1"/>
    <w:rsid w:val="006C6B77"/>
    <w:rsid w:val="006D2619"/>
    <w:rsid w:val="006D6C33"/>
    <w:rsid w:val="006D6E94"/>
    <w:rsid w:val="006E02CA"/>
    <w:rsid w:val="006E2DEB"/>
    <w:rsid w:val="006E5092"/>
    <w:rsid w:val="006E50BE"/>
    <w:rsid w:val="006E6B07"/>
    <w:rsid w:val="006E76B4"/>
    <w:rsid w:val="006F0B69"/>
    <w:rsid w:val="006F3688"/>
    <w:rsid w:val="006F523E"/>
    <w:rsid w:val="006F5848"/>
    <w:rsid w:val="006F5B16"/>
    <w:rsid w:val="0070146C"/>
    <w:rsid w:val="00701B78"/>
    <w:rsid w:val="00703335"/>
    <w:rsid w:val="00703DDB"/>
    <w:rsid w:val="0070443B"/>
    <w:rsid w:val="00704B16"/>
    <w:rsid w:val="0070780C"/>
    <w:rsid w:val="007134D7"/>
    <w:rsid w:val="00721934"/>
    <w:rsid w:val="00721D6C"/>
    <w:rsid w:val="0072306E"/>
    <w:rsid w:val="00723E99"/>
    <w:rsid w:val="00724E36"/>
    <w:rsid w:val="0072510B"/>
    <w:rsid w:val="00725403"/>
    <w:rsid w:val="00725905"/>
    <w:rsid w:val="00726845"/>
    <w:rsid w:val="00730904"/>
    <w:rsid w:val="00730E61"/>
    <w:rsid w:val="007312A3"/>
    <w:rsid w:val="00732FCC"/>
    <w:rsid w:val="00735B44"/>
    <w:rsid w:val="00735C32"/>
    <w:rsid w:val="00737B9D"/>
    <w:rsid w:val="00740C6E"/>
    <w:rsid w:val="0074291E"/>
    <w:rsid w:val="007435E8"/>
    <w:rsid w:val="00743A5E"/>
    <w:rsid w:val="007458B7"/>
    <w:rsid w:val="00746584"/>
    <w:rsid w:val="007476EC"/>
    <w:rsid w:val="0075381A"/>
    <w:rsid w:val="00754C81"/>
    <w:rsid w:val="007574A5"/>
    <w:rsid w:val="007617E0"/>
    <w:rsid w:val="00761E1F"/>
    <w:rsid w:val="00764897"/>
    <w:rsid w:val="00764E74"/>
    <w:rsid w:val="0076657C"/>
    <w:rsid w:val="00770315"/>
    <w:rsid w:val="00770631"/>
    <w:rsid w:val="00770CD9"/>
    <w:rsid w:val="00773F5F"/>
    <w:rsid w:val="0077435E"/>
    <w:rsid w:val="0077488D"/>
    <w:rsid w:val="00774DF3"/>
    <w:rsid w:val="007756C8"/>
    <w:rsid w:val="00776AA3"/>
    <w:rsid w:val="00777048"/>
    <w:rsid w:val="00777794"/>
    <w:rsid w:val="007848E6"/>
    <w:rsid w:val="00786073"/>
    <w:rsid w:val="00791A9B"/>
    <w:rsid w:val="00792AEC"/>
    <w:rsid w:val="007953D2"/>
    <w:rsid w:val="007956C4"/>
    <w:rsid w:val="00796019"/>
    <w:rsid w:val="00796424"/>
    <w:rsid w:val="007A056F"/>
    <w:rsid w:val="007A17B9"/>
    <w:rsid w:val="007A3D8C"/>
    <w:rsid w:val="007A5465"/>
    <w:rsid w:val="007A5649"/>
    <w:rsid w:val="007B0340"/>
    <w:rsid w:val="007B0C66"/>
    <w:rsid w:val="007B20DB"/>
    <w:rsid w:val="007B5E86"/>
    <w:rsid w:val="007B646B"/>
    <w:rsid w:val="007C1AB6"/>
    <w:rsid w:val="007C2270"/>
    <w:rsid w:val="007C269F"/>
    <w:rsid w:val="007C433C"/>
    <w:rsid w:val="007C646A"/>
    <w:rsid w:val="007C6A08"/>
    <w:rsid w:val="007C6E07"/>
    <w:rsid w:val="007D1BB6"/>
    <w:rsid w:val="007D2C97"/>
    <w:rsid w:val="007D5AA5"/>
    <w:rsid w:val="007D73AC"/>
    <w:rsid w:val="007D7DFD"/>
    <w:rsid w:val="007E0493"/>
    <w:rsid w:val="007E11CB"/>
    <w:rsid w:val="007E6A7B"/>
    <w:rsid w:val="007E6B32"/>
    <w:rsid w:val="007E6BEF"/>
    <w:rsid w:val="007F02C1"/>
    <w:rsid w:val="007F0A7C"/>
    <w:rsid w:val="007F1272"/>
    <w:rsid w:val="007F1F29"/>
    <w:rsid w:val="007F1F98"/>
    <w:rsid w:val="007F28F3"/>
    <w:rsid w:val="007F3AD8"/>
    <w:rsid w:val="007F41D7"/>
    <w:rsid w:val="007F5F8B"/>
    <w:rsid w:val="007F6893"/>
    <w:rsid w:val="007F7E85"/>
    <w:rsid w:val="0080417D"/>
    <w:rsid w:val="00812F98"/>
    <w:rsid w:val="0081449C"/>
    <w:rsid w:val="00814617"/>
    <w:rsid w:val="00814D5E"/>
    <w:rsid w:val="00814F82"/>
    <w:rsid w:val="0081538E"/>
    <w:rsid w:val="00816D1B"/>
    <w:rsid w:val="00817E33"/>
    <w:rsid w:val="00820C09"/>
    <w:rsid w:val="00821C3D"/>
    <w:rsid w:val="0082240C"/>
    <w:rsid w:val="00825614"/>
    <w:rsid w:val="008274AB"/>
    <w:rsid w:val="00831DEC"/>
    <w:rsid w:val="00832C1D"/>
    <w:rsid w:val="00833727"/>
    <w:rsid w:val="00833872"/>
    <w:rsid w:val="00833C41"/>
    <w:rsid w:val="00835FDE"/>
    <w:rsid w:val="008365E3"/>
    <w:rsid w:val="008371CA"/>
    <w:rsid w:val="00837964"/>
    <w:rsid w:val="0085243A"/>
    <w:rsid w:val="00854FEE"/>
    <w:rsid w:val="00857C88"/>
    <w:rsid w:val="008600FE"/>
    <w:rsid w:val="0086020F"/>
    <w:rsid w:val="00861839"/>
    <w:rsid w:val="00861B6B"/>
    <w:rsid w:val="00862EC9"/>
    <w:rsid w:val="00864946"/>
    <w:rsid w:val="00864EDC"/>
    <w:rsid w:val="0086527C"/>
    <w:rsid w:val="00872D0D"/>
    <w:rsid w:val="008732F0"/>
    <w:rsid w:val="008733CE"/>
    <w:rsid w:val="00874383"/>
    <w:rsid w:val="00874390"/>
    <w:rsid w:val="008745D9"/>
    <w:rsid w:val="00874899"/>
    <w:rsid w:val="008756D2"/>
    <w:rsid w:val="00881049"/>
    <w:rsid w:val="00881E5C"/>
    <w:rsid w:val="00884121"/>
    <w:rsid w:val="00884860"/>
    <w:rsid w:val="00890ED4"/>
    <w:rsid w:val="008915F3"/>
    <w:rsid w:val="0089358D"/>
    <w:rsid w:val="008945AE"/>
    <w:rsid w:val="008A0F4E"/>
    <w:rsid w:val="008A2751"/>
    <w:rsid w:val="008A3AD0"/>
    <w:rsid w:val="008A4FD8"/>
    <w:rsid w:val="008A50E8"/>
    <w:rsid w:val="008A648D"/>
    <w:rsid w:val="008A7A46"/>
    <w:rsid w:val="008B3950"/>
    <w:rsid w:val="008C05CA"/>
    <w:rsid w:val="008C1C94"/>
    <w:rsid w:val="008C1F68"/>
    <w:rsid w:val="008C338C"/>
    <w:rsid w:val="008C44C9"/>
    <w:rsid w:val="008D14B9"/>
    <w:rsid w:val="008D18AA"/>
    <w:rsid w:val="008D2B5B"/>
    <w:rsid w:val="008D2EF1"/>
    <w:rsid w:val="008D4970"/>
    <w:rsid w:val="008D4F71"/>
    <w:rsid w:val="008E1D01"/>
    <w:rsid w:val="008E24BF"/>
    <w:rsid w:val="008E3E1A"/>
    <w:rsid w:val="008E5315"/>
    <w:rsid w:val="008E562F"/>
    <w:rsid w:val="008F0B23"/>
    <w:rsid w:val="008F14EC"/>
    <w:rsid w:val="008F2429"/>
    <w:rsid w:val="008F3FCD"/>
    <w:rsid w:val="008F6E37"/>
    <w:rsid w:val="00900369"/>
    <w:rsid w:val="00900F95"/>
    <w:rsid w:val="00901136"/>
    <w:rsid w:val="009016D4"/>
    <w:rsid w:val="00901AE5"/>
    <w:rsid w:val="00901CBB"/>
    <w:rsid w:val="00904EC7"/>
    <w:rsid w:val="009071D2"/>
    <w:rsid w:val="00910E89"/>
    <w:rsid w:val="009120BD"/>
    <w:rsid w:val="00912B80"/>
    <w:rsid w:val="00913E75"/>
    <w:rsid w:val="0091498C"/>
    <w:rsid w:val="00915E10"/>
    <w:rsid w:val="00915FCD"/>
    <w:rsid w:val="00916CD7"/>
    <w:rsid w:val="009209E2"/>
    <w:rsid w:val="009237A0"/>
    <w:rsid w:val="009253BE"/>
    <w:rsid w:val="00930304"/>
    <w:rsid w:val="009307A7"/>
    <w:rsid w:val="009346FF"/>
    <w:rsid w:val="00935A37"/>
    <w:rsid w:val="00936B7B"/>
    <w:rsid w:val="00936B8A"/>
    <w:rsid w:val="009378B1"/>
    <w:rsid w:val="00941C47"/>
    <w:rsid w:val="0094468A"/>
    <w:rsid w:val="00945CAB"/>
    <w:rsid w:val="0094686F"/>
    <w:rsid w:val="00950DD4"/>
    <w:rsid w:val="00951285"/>
    <w:rsid w:val="00951B6F"/>
    <w:rsid w:val="00952FCA"/>
    <w:rsid w:val="00953B47"/>
    <w:rsid w:val="009565ED"/>
    <w:rsid w:val="00957983"/>
    <w:rsid w:val="00963CB5"/>
    <w:rsid w:val="00964612"/>
    <w:rsid w:val="00966DA8"/>
    <w:rsid w:val="009725B7"/>
    <w:rsid w:val="00972957"/>
    <w:rsid w:val="00977068"/>
    <w:rsid w:val="00980376"/>
    <w:rsid w:val="00980D0B"/>
    <w:rsid w:val="009810DE"/>
    <w:rsid w:val="00981549"/>
    <w:rsid w:val="0098319F"/>
    <w:rsid w:val="00983BAB"/>
    <w:rsid w:val="00984043"/>
    <w:rsid w:val="00984D30"/>
    <w:rsid w:val="00985F7D"/>
    <w:rsid w:val="00986ACF"/>
    <w:rsid w:val="009900C1"/>
    <w:rsid w:val="00993896"/>
    <w:rsid w:val="00993B9E"/>
    <w:rsid w:val="009951DA"/>
    <w:rsid w:val="00996A6D"/>
    <w:rsid w:val="009971C9"/>
    <w:rsid w:val="00997A5B"/>
    <w:rsid w:val="009A1E2B"/>
    <w:rsid w:val="009A2B87"/>
    <w:rsid w:val="009A5898"/>
    <w:rsid w:val="009A66D6"/>
    <w:rsid w:val="009A6BAB"/>
    <w:rsid w:val="009B2C70"/>
    <w:rsid w:val="009B3BB6"/>
    <w:rsid w:val="009B3DA8"/>
    <w:rsid w:val="009B7D73"/>
    <w:rsid w:val="009C3CDF"/>
    <w:rsid w:val="009C529C"/>
    <w:rsid w:val="009C5CA7"/>
    <w:rsid w:val="009C799C"/>
    <w:rsid w:val="009D13E1"/>
    <w:rsid w:val="009D369E"/>
    <w:rsid w:val="009D4075"/>
    <w:rsid w:val="009D42D1"/>
    <w:rsid w:val="009D5A14"/>
    <w:rsid w:val="009D78C1"/>
    <w:rsid w:val="009D7C52"/>
    <w:rsid w:val="009E0290"/>
    <w:rsid w:val="009E119A"/>
    <w:rsid w:val="009E19E5"/>
    <w:rsid w:val="009E2FB3"/>
    <w:rsid w:val="009E4331"/>
    <w:rsid w:val="009E4E5F"/>
    <w:rsid w:val="009E65EF"/>
    <w:rsid w:val="009E6C35"/>
    <w:rsid w:val="009E711F"/>
    <w:rsid w:val="009F0BB6"/>
    <w:rsid w:val="009F42C7"/>
    <w:rsid w:val="009F6342"/>
    <w:rsid w:val="009F7DC9"/>
    <w:rsid w:val="00A01066"/>
    <w:rsid w:val="00A02050"/>
    <w:rsid w:val="00A108C0"/>
    <w:rsid w:val="00A11372"/>
    <w:rsid w:val="00A147BB"/>
    <w:rsid w:val="00A1488D"/>
    <w:rsid w:val="00A14BB6"/>
    <w:rsid w:val="00A16CA5"/>
    <w:rsid w:val="00A20F3D"/>
    <w:rsid w:val="00A2126A"/>
    <w:rsid w:val="00A2253A"/>
    <w:rsid w:val="00A22802"/>
    <w:rsid w:val="00A23636"/>
    <w:rsid w:val="00A239BE"/>
    <w:rsid w:val="00A266C5"/>
    <w:rsid w:val="00A272E2"/>
    <w:rsid w:val="00A27DC7"/>
    <w:rsid w:val="00A32B8E"/>
    <w:rsid w:val="00A33127"/>
    <w:rsid w:val="00A3413A"/>
    <w:rsid w:val="00A3481C"/>
    <w:rsid w:val="00A34F04"/>
    <w:rsid w:val="00A3581E"/>
    <w:rsid w:val="00A47006"/>
    <w:rsid w:val="00A50FC2"/>
    <w:rsid w:val="00A57F4D"/>
    <w:rsid w:val="00A60958"/>
    <w:rsid w:val="00A61146"/>
    <w:rsid w:val="00A617D3"/>
    <w:rsid w:val="00A627FD"/>
    <w:rsid w:val="00A6597E"/>
    <w:rsid w:val="00A65D98"/>
    <w:rsid w:val="00A66E98"/>
    <w:rsid w:val="00A67187"/>
    <w:rsid w:val="00A67516"/>
    <w:rsid w:val="00A67668"/>
    <w:rsid w:val="00A67F5F"/>
    <w:rsid w:val="00A7707C"/>
    <w:rsid w:val="00A808A6"/>
    <w:rsid w:val="00A824E5"/>
    <w:rsid w:val="00A82AF4"/>
    <w:rsid w:val="00A847E2"/>
    <w:rsid w:val="00A87C1F"/>
    <w:rsid w:val="00A91F47"/>
    <w:rsid w:val="00A93D8C"/>
    <w:rsid w:val="00A95F31"/>
    <w:rsid w:val="00AA065D"/>
    <w:rsid w:val="00AA079B"/>
    <w:rsid w:val="00AA1984"/>
    <w:rsid w:val="00AA23AF"/>
    <w:rsid w:val="00AA27E6"/>
    <w:rsid w:val="00AA4A22"/>
    <w:rsid w:val="00AA6C3D"/>
    <w:rsid w:val="00AA767C"/>
    <w:rsid w:val="00AA7E84"/>
    <w:rsid w:val="00AB257F"/>
    <w:rsid w:val="00AB503C"/>
    <w:rsid w:val="00AB5179"/>
    <w:rsid w:val="00AB519C"/>
    <w:rsid w:val="00AB74F4"/>
    <w:rsid w:val="00AC01BF"/>
    <w:rsid w:val="00AC337D"/>
    <w:rsid w:val="00AC5A16"/>
    <w:rsid w:val="00AC5F37"/>
    <w:rsid w:val="00AD0F7B"/>
    <w:rsid w:val="00AD3181"/>
    <w:rsid w:val="00AD75C1"/>
    <w:rsid w:val="00AE1756"/>
    <w:rsid w:val="00AE2836"/>
    <w:rsid w:val="00AE33C3"/>
    <w:rsid w:val="00AE3CD5"/>
    <w:rsid w:val="00AE7E28"/>
    <w:rsid w:val="00AF0AC1"/>
    <w:rsid w:val="00AF1CC7"/>
    <w:rsid w:val="00AF3861"/>
    <w:rsid w:val="00AF5546"/>
    <w:rsid w:val="00AF663F"/>
    <w:rsid w:val="00AF745D"/>
    <w:rsid w:val="00B001E6"/>
    <w:rsid w:val="00B04D14"/>
    <w:rsid w:val="00B0521C"/>
    <w:rsid w:val="00B0629A"/>
    <w:rsid w:val="00B11441"/>
    <w:rsid w:val="00B118F5"/>
    <w:rsid w:val="00B120F0"/>
    <w:rsid w:val="00B139C8"/>
    <w:rsid w:val="00B15D0F"/>
    <w:rsid w:val="00B1649D"/>
    <w:rsid w:val="00B20589"/>
    <w:rsid w:val="00B20ACA"/>
    <w:rsid w:val="00B213DF"/>
    <w:rsid w:val="00B22B69"/>
    <w:rsid w:val="00B234FA"/>
    <w:rsid w:val="00B23C84"/>
    <w:rsid w:val="00B2599F"/>
    <w:rsid w:val="00B25C56"/>
    <w:rsid w:val="00B26B74"/>
    <w:rsid w:val="00B30603"/>
    <w:rsid w:val="00B3121E"/>
    <w:rsid w:val="00B34C15"/>
    <w:rsid w:val="00B35499"/>
    <w:rsid w:val="00B36888"/>
    <w:rsid w:val="00B37DC0"/>
    <w:rsid w:val="00B401EB"/>
    <w:rsid w:val="00B4462C"/>
    <w:rsid w:val="00B448EF"/>
    <w:rsid w:val="00B45B09"/>
    <w:rsid w:val="00B47466"/>
    <w:rsid w:val="00B52AF4"/>
    <w:rsid w:val="00B541D7"/>
    <w:rsid w:val="00B54823"/>
    <w:rsid w:val="00B54941"/>
    <w:rsid w:val="00B551BA"/>
    <w:rsid w:val="00B5661D"/>
    <w:rsid w:val="00B5774B"/>
    <w:rsid w:val="00B60915"/>
    <w:rsid w:val="00B61821"/>
    <w:rsid w:val="00B632AA"/>
    <w:rsid w:val="00B649E6"/>
    <w:rsid w:val="00B64F0A"/>
    <w:rsid w:val="00B720B2"/>
    <w:rsid w:val="00B72BB9"/>
    <w:rsid w:val="00B72F07"/>
    <w:rsid w:val="00B76105"/>
    <w:rsid w:val="00B8151D"/>
    <w:rsid w:val="00B8359D"/>
    <w:rsid w:val="00B83D49"/>
    <w:rsid w:val="00B84A34"/>
    <w:rsid w:val="00B86747"/>
    <w:rsid w:val="00B871A3"/>
    <w:rsid w:val="00B87E35"/>
    <w:rsid w:val="00B902E3"/>
    <w:rsid w:val="00B915B8"/>
    <w:rsid w:val="00B91869"/>
    <w:rsid w:val="00B92E18"/>
    <w:rsid w:val="00B934AF"/>
    <w:rsid w:val="00B9466F"/>
    <w:rsid w:val="00B94957"/>
    <w:rsid w:val="00B97057"/>
    <w:rsid w:val="00BA1C98"/>
    <w:rsid w:val="00BA2718"/>
    <w:rsid w:val="00BA3C58"/>
    <w:rsid w:val="00BA51BA"/>
    <w:rsid w:val="00BA5FC0"/>
    <w:rsid w:val="00BA69F6"/>
    <w:rsid w:val="00BA7464"/>
    <w:rsid w:val="00BB13FA"/>
    <w:rsid w:val="00BB15C5"/>
    <w:rsid w:val="00BB2C29"/>
    <w:rsid w:val="00BB2C87"/>
    <w:rsid w:val="00BB3F24"/>
    <w:rsid w:val="00BB3FB3"/>
    <w:rsid w:val="00BB640A"/>
    <w:rsid w:val="00BB7401"/>
    <w:rsid w:val="00BB7578"/>
    <w:rsid w:val="00BB7B09"/>
    <w:rsid w:val="00BB7F61"/>
    <w:rsid w:val="00BC2B1F"/>
    <w:rsid w:val="00BC3726"/>
    <w:rsid w:val="00BC374F"/>
    <w:rsid w:val="00BC79FE"/>
    <w:rsid w:val="00BD42CC"/>
    <w:rsid w:val="00BD47B7"/>
    <w:rsid w:val="00BE36E6"/>
    <w:rsid w:val="00BE5726"/>
    <w:rsid w:val="00BE6CDD"/>
    <w:rsid w:val="00BE7D46"/>
    <w:rsid w:val="00BF1FAC"/>
    <w:rsid w:val="00BF29FD"/>
    <w:rsid w:val="00BF3C24"/>
    <w:rsid w:val="00BF584A"/>
    <w:rsid w:val="00BF5DF2"/>
    <w:rsid w:val="00C003FB"/>
    <w:rsid w:val="00C02BFF"/>
    <w:rsid w:val="00C04137"/>
    <w:rsid w:val="00C05DEA"/>
    <w:rsid w:val="00C06697"/>
    <w:rsid w:val="00C06FC3"/>
    <w:rsid w:val="00C076BD"/>
    <w:rsid w:val="00C07948"/>
    <w:rsid w:val="00C1302C"/>
    <w:rsid w:val="00C14ABA"/>
    <w:rsid w:val="00C150DC"/>
    <w:rsid w:val="00C16406"/>
    <w:rsid w:val="00C16ABC"/>
    <w:rsid w:val="00C21CF6"/>
    <w:rsid w:val="00C22471"/>
    <w:rsid w:val="00C23C79"/>
    <w:rsid w:val="00C24136"/>
    <w:rsid w:val="00C24761"/>
    <w:rsid w:val="00C247AD"/>
    <w:rsid w:val="00C250E0"/>
    <w:rsid w:val="00C26984"/>
    <w:rsid w:val="00C27C35"/>
    <w:rsid w:val="00C32586"/>
    <w:rsid w:val="00C3307F"/>
    <w:rsid w:val="00C33128"/>
    <w:rsid w:val="00C33391"/>
    <w:rsid w:val="00C33B0F"/>
    <w:rsid w:val="00C346A0"/>
    <w:rsid w:val="00C34ADD"/>
    <w:rsid w:val="00C40718"/>
    <w:rsid w:val="00C4117F"/>
    <w:rsid w:val="00C415F0"/>
    <w:rsid w:val="00C426D7"/>
    <w:rsid w:val="00C436E3"/>
    <w:rsid w:val="00C4506B"/>
    <w:rsid w:val="00C46C93"/>
    <w:rsid w:val="00C47DE7"/>
    <w:rsid w:val="00C50CB6"/>
    <w:rsid w:val="00C51351"/>
    <w:rsid w:val="00C54807"/>
    <w:rsid w:val="00C56968"/>
    <w:rsid w:val="00C56B8E"/>
    <w:rsid w:val="00C61D12"/>
    <w:rsid w:val="00C61D79"/>
    <w:rsid w:val="00C6369C"/>
    <w:rsid w:val="00C64A0D"/>
    <w:rsid w:val="00C64D57"/>
    <w:rsid w:val="00C65A7A"/>
    <w:rsid w:val="00C66F9A"/>
    <w:rsid w:val="00C70336"/>
    <w:rsid w:val="00C745B3"/>
    <w:rsid w:val="00C764BD"/>
    <w:rsid w:val="00C76814"/>
    <w:rsid w:val="00C76991"/>
    <w:rsid w:val="00C77122"/>
    <w:rsid w:val="00C77389"/>
    <w:rsid w:val="00C81B58"/>
    <w:rsid w:val="00C82D10"/>
    <w:rsid w:val="00C850E5"/>
    <w:rsid w:val="00C8739A"/>
    <w:rsid w:val="00C87675"/>
    <w:rsid w:val="00C87D61"/>
    <w:rsid w:val="00C910F9"/>
    <w:rsid w:val="00C91B4F"/>
    <w:rsid w:val="00C935B0"/>
    <w:rsid w:val="00C9587F"/>
    <w:rsid w:val="00C97A0C"/>
    <w:rsid w:val="00CA0003"/>
    <w:rsid w:val="00CA003E"/>
    <w:rsid w:val="00CA1F4E"/>
    <w:rsid w:val="00CA290E"/>
    <w:rsid w:val="00CA3B07"/>
    <w:rsid w:val="00CA4455"/>
    <w:rsid w:val="00CA4CE5"/>
    <w:rsid w:val="00CA56BD"/>
    <w:rsid w:val="00CA6C4A"/>
    <w:rsid w:val="00CB1623"/>
    <w:rsid w:val="00CB3D34"/>
    <w:rsid w:val="00CB5B9A"/>
    <w:rsid w:val="00CB688F"/>
    <w:rsid w:val="00CB6B66"/>
    <w:rsid w:val="00CB7E0E"/>
    <w:rsid w:val="00CC009A"/>
    <w:rsid w:val="00CC2725"/>
    <w:rsid w:val="00CC370A"/>
    <w:rsid w:val="00CC3AAC"/>
    <w:rsid w:val="00CC3F48"/>
    <w:rsid w:val="00CC4B36"/>
    <w:rsid w:val="00CC5522"/>
    <w:rsid w:val="00CC5D78"/>
    <w:rsid w:val="00CC6174"/>
    <w:rsid w:val="00CC754D"/>
    <w:rsid w:val="00CD20AA"/>
    <w:rsid w:val="00CD2BEB"/>
    <w:rsid w:val="00CD2C4D"/>
    <w:rsid w:val="00CD3056"/>
    <w:rsid w:val="00CD346E"/>
    <w:rsid w:val="00CD5B6E"/>
    <w:rsid w:val="00CD5D75"/>
    <w:rsid w:val="00CD6575"/>
    <w:rsid w:val="00CD7529"/>
    <w:rsid w:val="00CE0D5F"/>
    <w:rsid w:val="00CE129C"/>
    <w:rsid w:val="00CE3745"/>
    <w:rsid w:val="00CE3807"/>
    <w:rsid w:val="00CE41D2"/>
    <w:rsid w:val="00CE597F"/>
    <w:rsid w:val="00CF0812"/>
    <w:rsid w:val="00CF0E3C"/>
    <w:rsid w:val="00CF2D10"/>
    <w:rsid w:val="00CF2F0D"/>
    <w:rsid w:val="00CF3A26"/>
    <w:rsid w:val="00CF3D21"/>
    <w:rsid w:val="00CF4F25"/>
    <w:rsid w:val="00D01420"/>
    <w:rsid w:val="00D0292B"/>
    <w:rsid w:val="00D049B9"/>
    <w:rsid w:val="00D054CC"/>
    <w:rsid w:val="00D066B1"/>
    <w:rsid w:val="00D070D4"/>
    <w:rsid w:val="00D10871"/>
    <w:rsid w:val="00D10F08"/>
    <w:rsid w:val="00D129C7"/>
    <w:rsid w:val="00D13895"/>
    <w:rsid w:val="00D15BC9"/>
    <w:rsid w:val="00D166ED"/>
    <w:rsid w:val="00D2000B"/>
    <w:rsid w:val="00D223E9"/>
    <w:rsid w:val="00D23CA8"/>
    <w:rsid w:val="00D24BC5"/>
    <w:rsid w:val="00D25684"/>
    <w:rsid w:val="00D25E5D"/>
    <w:rsid w:val="00D26F42"/>
    <w:rsid w:val="00D3091D"/>
    <w:rsid w:val="00D31222"/>
    <w:rsid w:val="00D3123E"/>
    <w:rsid w:val="00D3277F"/>
    <w:rsid w:val="00D33B8B"/>
    <w:rsid w:val="00D34CB7"/>
    <w:rsid w:val="00D3522B"/>
    <w:rsid w:val="00D36921"/>
    <w:rsid w:val="00D37415"/>
    <w:rsid w:val="00D37D8A"/>
    <w:rsid w:val="00D37DBB"/>
    <w:rsid w:val="00D41A11"/>
    <w:rsid w:val="00D43453"/>
    <w:rsid w:val="00D449B2"/>
    <w:rsid w:val="00D44EC8"/>
    <w:rsid w:val="00D463C7"/>
    <w:rsid w:val="00D50B13"/>
    <w:rsid w:val="00D51BC4"/>
    <w:rsid w:val="00D54605"/>
    <w:rsid w:val="00D55149"/>
    <w:rsid w:val="00D557C8"/>
    <w:rsid w:val="00D55A31"/>
    <w:rsid w:val="00D56857"/>
    <w:rsid w:val="00D60199"/>
    <w:rsid w:val="00D605D5"/>
    <w:rsid w:val="00D606F2"/>
    <w:rsid w:val="00D609B9"/>
    <w:rsid w:val="00D6268A"/>
    <w:rsid w:val="00D6362E"/>
    <w:rsid w:val="00D63792"/>
    <w:rsid w:val="00D63939"/>
    <w:rsid w:val="00D6495A"/>
    <w:rsid w:val="00D70DC0"/>
    <w:rsid w:val="00D7268C"/>
    <w:rsid w:val="00D72E3C"/>
    <w:rsid w:val="00D75FBE"/>
    <w:rsid w:val="00D7610A"/>
    <w:rsid w:val="00D77850"/>
    <w:rsid w:val="00D8032B"/>
    <w:rsid w:val="00D80925"/>
    <w:rsid w:val="00D80C28"/>
    <w:rsid w:val="00D81CEB"/>
    <w:rsid w:val="00D81E5A"/>
    <w:rsid w:val="00D82227"/>
    <w:rsid w:val="00D8409A"/>
    <w:rsid w:val="00D84268"/>
    <w:rsid w:val="00D8591A"/>
    <w:rsid w:val="00D8649B"/>
    <w:rsid w:val="00D873F8"/>
    <w:rsid w:val="00D908D6"/>
    <w:rsid w:val="00D90E93"/>
    <w:rsid w:val="00D917DC"/>
    <w:rsid w:val="00D92787"/>
    <w:rsid w:val="00D92C9B"/>
    <w:rsid w:val="00D95310"/>
    <w:rsid w:val="00D97599"/>
    <w:rsid w:val="00DA0D42"/>
    <w:rsid w:val="00DA1439"/>
    <w:rsid w:val="00DA1788"/>
    <w:rsid w:val="00DA5061"/>
    <w:rsid w:val="00DA5E49"/>
    <w:rsid w:val="00DA61C6"/>
    <w:rsid w:val="00DB02BC"/>
    <w:rsid w:val="00DB128A"/>
    <w:rsid w:val="00DB13B5"/>
    <w:rsid w:val="00DB4E4D"/>
    <w:rsid w:val="00DB555B"/>
    <w:rsid w:val="00DB5BBF"/>
    <w:rsid w:val="00DB5C6A"/>
    <w:rsid w:val="00DB65AD"/>
    <w:rsid w:val="00DB6A01"/>
    <w:rsid w:val="00DB72B6"/>
    <w:rsid w:val="00DC0656"/>
    <w:rsid w:val="00DC25D7"/>
    <w:rsid w:val="00DC2635"/>
    <w:rsid w:val="00DC2E58"/>
    <w:rsid w:val="00DC38A2"/>
    <w:rsid w:val="00DC39F9"/>
    <w:rsid w:val="00DC6315"/>
    <w:rsid w:val="00DC7A00"/>
    <w:rsid w:val="00DD13EC"/>
    <w:rsid w:val="00DD198E"/>
    <w:rsid w:val="00DD1A0C"/>
    <w:rsid w:val="00DD2273"/>
    <w:rsid w:val="00DD51C5"/>
    <w:rsid w:val="00DD568F"/>
    <w:rsid w:val="00DE2A4B"/>
    <w:rsid w:val="00DE3D8E"/>
    <w:rsid w:val="00DE4394"/>
    <w:rsid w:val="00DE4460"/>
    <w:rsid w:val="00DE4890"/>
    <w:rsid w:val="00DE4AD5"/>
    <w:rsid w:val="00DE7D6E"/>
    <w:rsid w:val="00DF11FA"/>
    <w:rsid w:val="00DF17BA"/>
    <w:rsid w:val="00DF37AD"/>
    <w:rsid w:val="00DF4710"/>
    <w:rsid w:val="00DF74BA"/>
    <w:rsid w:val="00DF7A28"/>
    <w:rsid w:val="00E001C6"/>
    <w:rsid w:val="00E00F0C"/>
    <w:rsid w:val="00E03F9B"/>
    <w:rsid w:val="00E04AAF"/>
    <w:rsid w:val="00E05E24"/>
    <w:rsid w:val="00E07A2D"/>
    <w:rsid w:val="00E07AD0"/>
    <w:rsid w:val="00E11E8C"/>
    <w:rsid w:val="00E121DC"/>
    <w:rsid w:val="00E17E9F"/>
    <w:rsid w:val="00E2011D"/>
    <w:rsid w:val="00E2012C"/>
    <w:rsid w:val="00E211A9"/>
    <w:rsid w:val="00E2198E"/>
    <w:rsid w:val="00E226BF"/>
    <w:rsid w:val="00E24A31"/>
    <w:rsid w:val="00E26487"/>
    <w:rsid w:val="00E3226D"/>
    <w:rsid w:val="00E326B7"/>
    <w:rsid w:val="00E32C68"/>
    <w:rsid w:val="00E32DF7"/>
    <w:rsid w:val="00E33125"/>
    <w:rsid w:val="00E36211"/>
    <w:rsid w:val="00E37536"/>
    <w:rsid w:val="00E3761F"/>
    <w:rsid w:val="00E41B2E"/>
    <w:rsid w:val="00E42213"/>
    <w:rsid w:val="00E4582F"/>
    <w:rsid w:val="00E472E7"/>
    <w:rsid w:val="00E47791"/>
    <w:rsid w:val="00E47B16"/>
    <w:rsid w:val="00E50A1A"/>
    <w:rsid w:val="00E50D0B"/>
    <w:rsid w:val="00E52741"/>
    <w:rsid w:val="00E53691"/>
    <w:rsid w:val="00E53927"/>
    <w:rsid w:val="00E53B90"/>
    <w:rsid w:val="00E541BB"/>
    <w:rsid w:val="00E55FE9"/>
    <w:rsid w:val="00E563FE"/>
    <w:rsid w:val="00E56D79"/>
    <w:rsid w:val="00E57AD2"/>
    <w:rsid w:val="00E628D2"/>
    <w:rsid w:val="00E62E96"/>
    <w:rsid w:val="00E64223"/>
    <w:rsid w:val="00E64DC4"/>
    <w:rsid w:val="00E7010D"/>
    <w:rsid w:val="00E70230"/>
    <w:rsid w:val="00E711FF"/>
    <w:rsid w:val="00E743E9"/>
    <w:rsid w:val="00E75367"/>
    <w:rsid w:val="00E75DCF"/>
    <w:rsid w:val="00E76E64"/>
    <w:rsid w:val="00E77687"/>
    <w:rsid w:val="00E81C5B"/>
    <w:rsid w:val="00E81CEA"/>
    <w:rsid w:val="00E84348"/>
    <w:rsid w:val="00E84A43"/>
    <w:rsid w:val="00E86747"/>
    <w:rsid w:val="00E86C83"/>
    <w:rsid w:val="00E9231E"/>
    <w:rsid w:val="00EA23DC"/>
    <w:rsid w:val="00EA2D4D"/>
    <w:rsid w:val="00EA4F94"/>
    <w:rsid w:val="00EA6284"/>
    <w:rsid w:val="00EA7176"/>
    <w:rsid w:val="00EA7F73"/>
    <w:rsid w:val="00EB0216"/>
    <w:rsid w:val="00EB029B"/>
    <w:rsid w:val="00EB03CA"/>
    <w:rsid w:val="00EB1105"/>
    <w:rsid w:val="00EB1F51"/>
    <w:rsid w:val="00EB3FA0"/>
    <w:rsid w:val="00EC008F"/>
    <w:rsid w:val="00EC03F7"/>
    <w:rsid w:val="00EC10D9"/>
    <w:rsid w:val="00EC49F0"/>
    <w:rsid w:val="00EC6B28"/>
    <w:rsid w:val="00EC7702"/>
    <w:rsid w:val="00EC7DBA"/>
    <w:rsid w:val="00ED07A3"/>
    <w:rsid w:val="00ED086B"/>
    <w:rsid w:val="00ED0E4C"/>
    <w:rsid w:val="00ED2047"/>
    <w:rsid w:val="00ED7FDD"/>
    <w:rsid w:val="00EE1B7D"/>
    <w:rsid w:val="00EE248D"/>
    <w:rsid w:val="00EE39FC"/>
    <w:rsid w:val="00EE77E4"/>
    <w:rsid w:val="00EF214B"/>
    <w:rsid w:val="00EF415E"/>
    <w:rsid w:val="00EF4B0B"/>
    <w:rsid w:val="00EF5F6B"/>
    <w:rsid w:val="00EF6554"/>
    <w:rsid w:val="00EF655A"/>
    <w:rsid w:val="00EF7203"/>
    <w:rsid w:val="00F002DC"/>
    <w:rsid w:val="00F0242F"/>
    <w:rsid w:val="00F037DA"/>
    <w:rsid w:val="00F048EA"/>
    <w:rsid w:val="00F05663"/>
    <w:rsid w:val="00F066AD"/>
    <w:rsid w:val="00F11029"/>
    <w:rsid w:val="00F118A1"/>
    <w:rsid w:val="00F134F0"/>
    <w:rsid w:val="00F13789"/>
    <w:rsid w:val="00F1384F"/>
    <w:rsid w:val="00F15D86"/>
    <w:rsid w:val="00F16DFC"/>
    <w:rsid w:val="00F2289A"/>
    <w:rsid w:val="00F24B87"/>
    <w:rsid w:val="00F24CA3"/>
    <w:rsid w:val="00F2553D"/>
    <w:rsid w:val="00F26DEB"/>
    <w:rsid w:val="00F2752B"/>
    <w:rsid w:val="00F35A80"/>
    <w:rsid w:val="00F35BBF"/>
    <w:rsid w:val="00F360F6"/>
    <w:rsid w:val="00F36B90"/>
    <w:rsid w:val="00F37254"/>
    <w:rsid w:val="00F4291A"/>
    <w:rsid w:val="00F42BD4"/>
    <w:rsid w:val="00F433F0"/>
    <w:rsid w:val="00F4387F"/>
    <w:rsid w:val="00F44E14"/>
    <w:rsid w:val="00F46785"/>
    <w:rsid w:val="00F5033D"/>
    <w:rsid w:val="00F52673"/>
    <w:rsid w:val="00F52A06"/>
    <w:rsid w:val="00F53F91"/>
    <w:rsid w:val="00F55F30"/>
    <w:rsid w:val="00F55F86"/>
    <w:rsid w:val="00F569FB"/>
    <w:rsid w:val="00F56EC3"/>
    <w:rsid w:val="00F65CB2"/>
    <w:rsid w:val="00F67F5B"/>
    <w:rsid w:val="00F704C2"/>
    <w:rsid w:val="00F70B04"/>
    <w:rsid w:val="00F727CF"/>
    <w:rsid w:val="00F73E16"/>
    <w:rsid w:val="00F73F70"/>
    <w:rsid w:val="00F74543"/>
    <w:rsid w:val="00F76378"/>
    <w:rsid w:val="00F76BB7"/>
    <w:rsid w:val="00F77F44"/>
    <w:rsid w:val="00F81ADA"/>
    <w:rsid w:val="00F81D9E"/>
    <w:rsid w:val="00F82DE3"/>
    <w:rsid w:val="00F8315E"/>
    <w:rsid w:val="00F83B9B"/>
    <w:rsid w:val="00F843F2"/>
    <w:rsid w:val="00F852B2"/>
    <w:rsid w:val="00F90870"/>
    <w:rsid w:val="00F929D1"/>
    <w:rsid w:val="00F93C7B"/>
    <w:rsid w:val="00FA05BB"/>
    <w:rsid w:val="00FA162D"/>
    <w:rsid w:val="00FA3889"/>
    <w:rsid w:val="00FA4D14"/>
    <w:rsid w:val="00FA54AB"/>
    <w:rsid w:val="00FA7220"/>
    <w:rsid w:val="00FA7F95"/>
    <w:rsid w:val="00FB07C7"/>
    <w:rsid w:val="00FB1EDB"/>
    <w:rsid w:val="00FB363F"/>
    <w:rsid w:val="00FB4E10"/>
    <w:rsid w:val="00FC1079"/>
    <w:rsid w:val="00FC173D"/>
    <w:rsid w:val="00FC2034"/>
    <w:rsid w:val="00FC2DFC"/>
    <w:rsid w:val="00FC56D4"/>
    <w:rsid w:val="00FC5D90"/>
    <w:rsid w:val="00FC6243"/>
    <w:rsid w:val="00FC67A0"/>
    <w:rsid w:val="00FD27A8"/>
    <w:rsid w:val="00FD45B3"/>
    <w:rsid w:val="00FD67AF"/>
    <w:rsid w:val="00FD67E1"/>
    <w:rsid w:val="00FD7672"/>
    <w:rsid w:val="00FD7E9D"/>
    <w:rsid w:val="00FE0250"/>
    <w:rsid w:val="00FE26C5"/>
    <w:rsid w:val="00FE2827"/>
    <w:rsid w:val="00FE3107"/>
    <w:rsid w:val="00FE5C56"/>
    <w:rsid w:val="00FE5E67"/>
    <w:rsid w:val="00FF0A4B"/>
    <w:rsid w:val="00FF104B"/>
    <w:rsid w:val="00FF5C9C"/>
    <w:rsid w:val="00FF7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1D9EC"/>
  <w15:chartTrackingRefBased/>
  <w15:docId w15:val="{11D1284B-6FCB-411E-A5B5-BBE718FC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97B"/>
    <w:pPr>
      <w:spacing w:after="0" w:line="480" w:lineRule="auto"/>
    </w:pPr>
    <w:rPr>
      <w:rFonts w:ascii="Arial" w:hAnsi="Arial"/>
    </w:rPr>
  </w:style>
  <w:style w:type="paragraph" w:styleId="Heading1">
    <w:name w:val="heading 1"/>
    <w:basedOn w:val="Normal"/>
    <w:next w:val="Normal"/>
    <w:link w:val="Heading1Char"/>
    <w:uiPriority w:val="9"/>
    <w:qFormat/>
    <w:rsid w:val="0041197B"/>
    <w:pPr>
      <w:keepNext/>
      <w:keepLines/>
      <w:jc w:val="center"/>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41197B"/>
    <w:pPr>
      <w:keepNext/>
      <w:keepLines/>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31DEC"/>
    <w:pPr>
      <w:keepNext/>
      <w:keepLines/>
      <w:outlineLvl w:val="2"/>
    </w:pPr>
    <w:rPr>
      <w:rFonts w:eastAsiaTheme="majorEastAsia" w:cstheme="majorBidi"/>
      <w:i/>
      <w:color w:val="000000" w:themeColor="text1"/>
      <w:szCs w:val="24"/>
    </w:rPr>
  </w:style>
  <w:style w:type="paragraph" w:styleId="Heading4">
    <w:name w:val="heading 4"/>
    <w:basedOn w:val="Normal"/>
    <w:next w:val="Normal"/>
    <w:link w:val="Heading4Char"/>
    <w:uiPriority w:val="9"/>
    <w:unhideWhenUsed/>
    <w:qFormat/>
    <w:rsid w:val="00831D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97B"/>
    <w:rPr>
      <w:rFonts w:ascii="Arial" w:eastAsiaTheme="majorEastAsia" w:hAnsi="Arial" w:cstheme="majorBidi"/>
      <w:b/>
      <w:sz w:val="24"/>
      <w:szCs w:val="32"/>
    </w:rPr>
  </w:style>
  <w:style w:type="character" w:styleId="Hyperlink">
    <w:name w:val="Hyperlink"/>
    <w:basedOn w:val="DefaultParagraphFont"/>
    <w:uiPriority w:val="99"/>
    <w:unhideWhenUsed/>
    <w:rsid w:val="00C56968"/>
    <w:rPr>
      <w:color w:val="0563C1" w:themeColor="hyperlink"/>
      <w:u w:val="single"/>
    </w:rPr>
  </w:style>
  <w:style w:type="character" w:customStyle="1" w:styleId="EndNoteBibliographyChar">
    <w:name w:val="EndNote Bibliography Char"/>
    <w:basedOn w:val="DefaultParagraphFont"/>
    <w:link w:val="EndNoteBibliography"/>
    <w:locked/>
    <w:rsid w:val="00C56968"/>
    <w:rPr>
      <w:rFonts w:ascii="Roboto Light" w:hAnsi="Roboto Light"/>
      <w:noProof/>
      <w:lang w:val="en-US"/>
    </w:rPr>
  </w:style>
  <w:style w:type="paragraph" w:customStyle="1" w:styleId="EndNoteBibliography">
    <w:name w:val="EndNote Bibliography"/>
    <w:basedOn w:val="Normal"/>
    <w:link w:val="EndNoteBibliographyChar"/>
    <w:rsid w:val="00C56968"/>
    <w:rPr>
      <w:noProof/>
      <w:lang w:val="en-US"/>
    </w:rPr>
  </w:style>
  <w:style w:type="character" w:styleId="CommentReference">
    <w:name w:val="annotation reference"/>
    <w:basedOn w:val="DefaultParagraphFont"/>
    <w:uiPriority w:val="99"/>
    <w:semiHidden/>
    <w:unhideWhenUsed/>
    <w:rsid w:val="00636DFF"/>
    <w:rPr>
      <w:sz w:val="16"/>
      <w:szCs w:val="16"/>
    </w:rPr>
  </w:style>
  <w:style w:type="paragraph" w:styleId="CommentText">
    <w:name w:val="annotation text"/>
    <w:basedOn w:val="Normal"/>
    <w:link w:val="CommentTextChar"/>
    <w:uiPriority w:val="99"/>
    <w:unhideWhenUsed/>
    <w:rsid w:val="00636DFF"/>
    <w:rPr>
      <w:sz w:val="20"/>
      <w:szCs w:val="20"/>
    </w:rPr>
  </w:style>
  <w:style w:type="character" w:customStyle="1" w:styleId="CommentTextChar">
    <w:name w:val="Comment Text Char"/>
    <w:basedOn w:val="DefaultParagraphFont"/>
    <w:link w:val="CommentText"/>
    <w:uiPriority w:val="99"/>
    <w:rsid w:val="00636DFF"/>
    <w:rPr>
      <w:rFonts w:ascii="Roboto Light" w:hAnsi="Roboto Light"/>
      <w:sz w:val="20"/>
      <w:szCs w:val="20"/>
    </w:rPr>
  </w:style>
  <w:style w:type="paragraph" w:styleId="CommentSubject">
    <w:name w:val="annotation subject"/>
    <w:basedOn w:val="CommentText"/>
    <w:next w:val="CommentText"/>
    <w:link w:val="CommentSubjectChar"/>
    <w:uiPriority w:val="99"/>
    <w:semiHidden/>
    <w:unhideWhenUsed/>
    <w:rsid w:val="00636DFF"/>
    <w:rPr>
      <w:b/>
      <w:bCs/>
    </w:rPr>
  </w:style>
  <w:style w:type="character" w:customStyle="1" w:styleId="CommentSubjectChar">
    <w:name w:val="Comment Subject Char"/>
    <w:basedOn w:val="CommentTextChar"/>
    <w:link w:val="CommentSubject"/>
    <w:uiPriority w:val="99"/>
    <w:semiHidden/>
    <w:rsid w:val="00636DFF"/>
    <w:rPr>
      <w:rFonts w:ascii="Roboto Light" w:hAnsi="Roboto Light"/>
      <w:b/>
      <w:bCs/>
      <w:sz w:val="20"/>
      <w:szCs w:val="20"/>
    </w:rPr>
  </w:style>
  <w:style w:type="character" w:styleId="UnresolvedMention">
    <w:name w:val="Unresolved Mention"/>
    <w:basedOn w:val="DefaultParagraphFont"/>
    <w:uiPriority w:val="99"/>
    <w:semiHidden/>
    <w:unhideWhenUsed/>
    <w:rsid w:val="001F1243"/>
    <w:rPr>
      <w:color w:val="605E5C"/>
      <w:shd w:val="clear" w:color="auto" w:fill="E1DFDD"/>
    </w:rPr>
  </w:style>
  <w:style w:type="paragraph" w:styleId="Revision">
    <w:name w:val="Revision"/>
    <w:hidden/>
    <w:uiPriority w:val="99"/>
    <w:semiHidden/>
    <w:rsid w:val="00E05E24"/>
    <w:pPr>
      <w:spacing w:after="0" w:line="240" w:lineRule="auto"/>
    </w:pPr>
    <w:rPr>
      <w:rFonts w:ascii="Roboto Light" w:hAnsi="Roboto Light"/>
      <w:sz w:val="24"/>
    </w:rPr>
  </w:style>
  <w:style w:type="character" w:customStyle="1" w:styleId="apple-converted-space">
    <w:name w:val="apple-converted-space"/>
    <w:basedOn w:val="DefaultParagraphFont"/>
    <w:rsid w:val="00242033"/>
  </w:style>
  <w:style w:type="character" w:styleId="LineNumber">
    <w:name w:val="line number"/>
    <w:basedOn w:val="DefaultParagraphFont"/>
    <w:uiPriority w:val="99"/>
    <w:semiHidden/>
    <w:unhideWhenUsed/>
    <w:rsid w:val="00B401EB"/>
  </w:style>
  <w:style w:type="paragraph" w:styleId="Footer">
    <w:name w:val="footer"/>
    <w:basedOn w:val="Normal"/>
    <w:link w:val="FooterChar"/>
    <w:uiPriority w:val="99"/>
    <w:unhideWhenUsed/>
    <w:rsid w:val="00B401EB"/>
    <w:pPr>
      <w:tabs>
        <w:tab w:val="center" w:pos="4513"/>
        <w:tab w:val="right" w:pos="9026"/>
      </w:tabs>
    </w:pPr>
  </w:style>
  <w:style w:type="character" w:customStyle="1" w:styleId="FooterChar">
    <w:name w:val="Footer Char"/>
    <w:basedOn w:val="DefaultParagraphFont"/>
    <w:link w:val="Footer"/>
    <w:uiPriority w:val="99"/>
    <w:rsid w:val="00B401EB"/>
    <w:rPr>
      <w:rFonts w:ascii="Roboto Light" w:hAnsi="Roboto Light"/>
      <w:sz w:val="24"/>
    </w:rPr>
  </w:style>
  <w:style w:type="character" w:styleId="PageNumber">
    <w:name w:val="page number"/>
    <w:basedOn w:val="DefaultParagraphFont"/>
    <w:uiPriority w:val="99"/>
    <w:semiHidden/>
    <w:unhideWhenUsed/>
    <w:rsid w:val="00B401EB"/>
  </w:style>
  <w:style w:type="paragraph" w:styleId="ListParagraph">
    <w:name w:val="List Paragraph"/>
    <w:basedOn w:val="Normal"/>
    <w:uiPriority w:val="34"/>
    <w:qFormat/>
    <w:rsid w:val="00A6597E"/>
    <w:pPr>
      <w:ind w:left="720"/>
      <w:contextualSpacing/>
    </w:pPr>
  </w:style>
  <w:style w:type="character" w:customStyle="1" w:styleId="Heading2Char">
    <w:name w:val="Heading 2 Char"/>
    <w:basedOn w:val="DefaultParagraphFont"/>
    <w:link w:val="Heading2"/>
    <w:uiPriority w:val="9"/>
    <w:rsid w:val="0041197B"/>
    <w:rPr>
      <w:rFonts w:ascii="Arial" w:eastAsiaTheme="majorEastAsia" w:hAnsi="Arial" w:cstheme="majorBidi"/>
      <w:b/>
      <w:color w:val="000000" w:themeColor="text1"/>
      <w:szCs w:val="26"/>
    </w:rPr>
  </w:style>
  <w:style w:type="table" w:styleId="TableGrid">
    <w:name w:val="Table Grid"/>
    <w:basedOn w:val="TableNormal"/>
    <w:uiPriority w:val="39"/>
    <w:rsid w:val="00B2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8591A"/>
    <w:rPr>
      <w:b/>
      <w:iCs/>
      <w:szCs w:val="18"/>
    </w:rPr>
  </w:style>
  <w:style w:type="paragraph" w:styleId="Bibliography">
    <w:name w:val="Bibliography"/>
    <w:basedOn w:val="Normal"/>
    <w:next w:val="Normal"/>
    <w:uiPriority w:val="37"/>
    <w:unhideWhenUsed/>
    <w:rsid w:val="00D63939"/>
    <w:pPr>
      <w:ind w:left="720" w:hanging="720"/>
    </w:pPr>
  </w:style>
  <w:style w:type="paragraph" w:styleId="Header">
    <w:name w:val="header"/>
    <w:basedOn w:val="Normal"/>
    <w:link w:val="HeaderChar"/>
    <w:uiPriority w:val="99"/>
    <w:unhideWhenUsed/>
    <w:rsid w:val="0027023F"/>
    <w:pPr>
      <w:tabs>
        <w:tab w:val="center" w:pos="4513"/>
        <w:tab w:val="right" w:pos="9026"/>
      </w:tabs>
      <w:spacing w:line="240" w:lineRule="auto"/>
    </w:pPr>
  </w:style>
  <w:style w:type="character" w:customStyle="1" w:styleId="HeaderChar">
    <w:name w:val="Header Char"/>
    <w:basedOn w:val="DefaultParagraphFont"/>
    <w:link w:val="Header"/>
    <w:uiPriority w:val="99"/>
    <w:rsid w:val="0027023F"/>
    <w:rPr>
      <w:rFonts w:ascii="Arial" w:hAnsi="Arial"/>
    </w:rPr>
  </w:style>
  <w:style w:type="paragraph" w:styleId="NormalWeb">
    <w:name w:val="Normal (Web)"/>
    <w:basedOn w:val="Normal"/>
    <w:uiPriority w:val="99"/>
    <w:semiHidden/>
    <w:unhideWhenUsed/>
    <w:rsid w:val="006B1DB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831DEC"/>
    <w:rPr>
      <w:rFonts w:ascii="Arial" w:eastAsiaTheme="majorEastAsia" w:hAnsi="Arial" w:cstheme="majorBidi"/>
      <w:i/>
      <w:color w:val="000000" w:themeColor="text1"/>
      <w:szCs w:val="24"/>
    </w:rPr>
  </w:style>
  <w:style w:type="character" w:customStyle="1" w:styleId="Heading4Char">
    <w:name w:val="Heading 4 Char"/>
    <w:basedOn w:val="DefaultParagraphFont"/>
    <w:link w:val="Heading4"/>
    <w:uiPriority w:val="9"/>
    <w:rsid w:val="00831DE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09497">
      <w:bodyDiv w:val="1"/>
      <w:marLeft w:val="0"/>
      <w:marRight w:val="0"/>
      <w:marTop w:val="0"/>
      <w:marBottom w:val="0"/>
      <w:divBdr>
        <w:top w:val="none" w:sz="0" w:space="0" w:color="auto"/>
        <w:left w:val="none" w:sz="0" w:space="0" w:color="auto"/>
        <w:bottom w:val="none" w:sz="0" w:space="0" w:color="auto"/>
        <w:right w:val="none" w:sz="0" w:space="0" w:color="auto"/>
      </w:divBdr>
      <w:divsChild>
        <w:div w:id="1073427398">
          <w:marLeft w:val="0"/>
          <w:marRight w:val="0"/>
          <w:marTop w:val="0"/>
          <w:marBottom w:val="0"/>
          <w:divBdr>
            <w:top w:val="none" w:sz="0" w:space="0" w:color="auto"/>
            <w:left w:val="none" w:sz="0" w:space="0" w:color="auto"/>
            <w:bottom w:val="none" w:sz="0" w:space="0" w:color="auto"/>
            <w:right w:val="none" w:sz="0" w:space="0" w:color="auto"/>
          </w:divBdr>
          <w:divsChild>
            <w:div w:id="1534807270">
              <w:marLeft w:val="0"/>
              <w:marRight w:val="0"/>
              <w:marTop w:val="0"/>
              <w:marBottom w:val="0"/>
              <w:divBdr>
                <w:top w:val="none" w:sz="0" w:space="0" w:color="auto"/>
                <w:left w:val="none" w:sz="0" w:space="0" w:color="auto"/>
                <w:bottom w:val="none" w:sz="0" w:space="0" w:color="auto"/>
                <w:right w:val="none" w:sz="0" w:space="0" w:color="auto"/>
              </w:divBdr>
              <w:divsChild>
                <w:div w:id="369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11021">
      <w:bodyDiv w:val="1"/>
      <w:marLeft w:val="0"/>
      <w:marRight w:val="0"/>
      <w:marTop w:val="0"/>
      <w:marBottom w:val="0"/>
      <w:divBdr>
        <w:top w:val="none" w:sz="0" w:space="0" w:color="auto"/>
        <w:left w:val="none" w:sz="0" w:space="0" w:color="auto"/>
        <w:bottom w:val="none" w:sz="0" w:space="0" w:color="auto"/>
        <w:right w:val="none" w:sz="0" w:space="0" w:color="auto"/>
      </w:divBdr>
    </w:div>
    <w:div w:id="210457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yle.Bennett@scu.edu.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26</Pages>
  <Words>18753</Words>
  <Characters>102208</Characters>
  <Application>Microsoft Office Word</Application>
  <DocSecurity>0</DocSecurity>
  <Lines>2492</Lines>
  <Paragraphs>1359</Paragraphs>
  <ScaleCrop>false</ScaleCrop>
  <HeadingPairs>
    <vt:vector size="2" baseType="variant">
      <vt:variant>
        <vt:lpstr>Title</vt:lpstr>
      </vt:variant>
      <vt:variant>
        <vt:i4>1</vt:i4>
      </vt:variant>
    </vt:vector>
  </HeadingPairs>
  <TitlesOfParts>
    <vt:vector size="1" baseType="lpstr">
      <vt:lpstr/>
    </vt:vector>
  </TitlesOfParts>
  <Company>Southern Cross University</Company>
  <LinksUpToDate>false</LinksUpToDate>
  <CharactersWithSpaces>119602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Bennett</dc:creator>
  <cp:keywords/>
  <dc:description/>
  <cp:lastModifiedBy>Kyle Bennett</cp:lastModifiedBy>
  <cp:revision>17</cp:revision>
  <dcterms:created xsi:type="dcterms:W3CDTF">2024-11-13T01:57:00Z</dcterms:created>
  <dcterms:modified xsi:type="dcterms:W3CDTF">2024-11-13T02:11:00Z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f19a3dbed4b1530987247928ee1386016174c2e9aef4a7c6b6f6dc1bb81b1142</vt:lpwstr>
  </property>
  <property fmtid="{D5CDD505-2E9C-101B-9397-08002B2CF9AE}" pid="3" name="ZOTERO_PREF_1">
    <vt:lpwstr>&lt;data data-version="3" zotero-version="6.0.36"&gt;&lt;session id="7iWxUWVW"/&gt;&lt;style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