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5385" w14:textId="73B7F2D3" w:rsidR="00B550A4" w:rsidRPr="00FA3A0E" w:rsidRDefault="00B550A4" w:rsidP="00B550A4">
      <w:pPr>
        <w:pStyle w:val="Nadpis1"/>
        <w:rPr>
          <w:lang w:val="en-GB"/>
        </w:rPr>
      </w:pPr>
      <w:bookmarkStart w:id="0" w:name="_GoBack"/>
      <w:bookmarkEnd w:id="0"/>
      <w:r w:rsidRPr="00B550A4">
        <w:rPr>
          <w:lang w:val="en-US"/>
        </w:rPr>
        <w:t>Materials and Methods</w:t>
      </w:r>
      <w:r w:rsidR="00753EB8">
        <w:rPr>
          <w:lang w:val="en-US"/>
        </w:rPr>
        <w:t xml:space="preserve"> – additional information</w:t>
      </w:r>
    </w:p>
    <w:p w14:paraId="6B58A341" w14:textId="6EAC2774" w:rsidR="00B550A4" w:rsidRPr="00B550A4" w:rsidRDefault="00B550A4" w:rsidP="00B550A4">
      <w:pPr>
        <w:pStyle w:val="Nadpis2"/>
        <w:rPr>
          <w:lang w:val="en-US"/>
        </w:rPr>
      </w:pPr>
      <w:r>
        <w:rPr>
          <w:lang w:val="en-US"/>
        </w:rPr>
        <w:t>Data processing and statistical analysis</w:t>
      </w:r>
    </w:p>
    <w:p w14:paraId="36C9E7F3" w14:textId="3648E6B4" w:rsidR="0092009A" w:rsidRDefault="0092009A" w:rsidP="00B550A4">
      <w:pPr>
        <w:pStyle w:val="Nadpis3"/>
      </w:pPr>
      <w:r>
        <w:rPr>
          <w:lang w:val="en-US"/>
        </w:rPr>
        <w:t>Concordance and correlation of dependent variables</w:t>
      </w:r>
    </w:p>
    <w:p w14:paraId="6D4656F6" w14:textId="3321E7E4" w:rsidR="0092009A" w:rsidRDefault="0092009A" w:rsidP="0092009A">
      <w:pPr>
        <w:jc w:val="both"/>
      </w:pPr>
      <w:r w:rsidRPr="7AB20B56">
        <w:rPr>
          <w:lang w:val="en-US"/>
        </w:rPr>
        <w:t>Kendall's coefficient of concordance showed high conformity between the tree evaluators for both AQV (W = 0.75</w:t>
      </w:r>
      <w:r>
        <w:rPr>
          <w:lang w:val="en-US"/>
        </w:rPr>
        <w:t xml:space="preserve"> [0.749, 0.780]</w:t>
      </w:r>
      <w:r w:rsidRPr="7AB20B56">
        <w:rPr>
          <w:lang w:val="en-US"/>
        </w:rPr>
        <w:t>, p &lt; 0.001) and E-score (W = 0.79</w:t>
      </w:r>
      <w:r>
        <w:rPr>
          <w:lang w:val="en-US"/>
        </w:rPr>
        <w:t xml:space="preserve"> [0.761, 0.984]</w:t>
      </w:r>
      <w:r w:rsidRPr="7AB20B56">
        <w:rPr>
          <w:lang w:val="en-US"/>
        </w:rPr>
        <w:t>, p &lt; 0.001) above our predefined threshold of W = 0.7</w:t>
      </w:r>
      <w:r>
        <w:rPr>
          <w:lang w:val="en-US"/>
        </w:rPr>
        <w:t>0</w:t>
      </w:r>
      <w:r w:rsidRPr="7AB20B56">
        <w:rPr>
          <w:lang w:val="en-US"/>
        </w:rPr>
        <w:t>. Based on th</w:t>
      </w:r>
      <w:r>
        <w:rPr>
          <w:lang w:val="en-US"/>
        </w:rPr>
        <w:t>e</w:t>
      </w:r>
      <w:r w:rsidRPr="7AB20B56">
        <w:rPr>
          <w:lang w:val="en-US"/>
        </w:rPr>
        <w:t>s</w:t>
      </w:r>
      <w:r>
        <w:rPr>
          <w:lang w:val="en-US"/>
        </w:rPr>
        <w:t>e</w:t>
      </w:r>
      <w:r w:rsidRPr="7AB20B56">
        <w:rPr>
          <w:lang w:val="en-US"/>
        </w:rPr>
        <w:t xml:space="preserve"> result</w:t>
      </w:r>
      <w:r>
        <w:rPr>
          <w:lang w:val="en-US"/>
        </w:rPr>
        <w:t>s</w:t>
      </w:r>
      <w:r w:rsidRPr="7AB20B56">
        <w:rPr>
          <w:lang w:val="en-US"/>
        </w:rPr>
        <w:t xml:space="preserve"> we </w:t>
      </w:r>
      <w:r>
        <w:rPr>
          <w:lang w:val="en-US"/>
        </w:rPr>
        <w:t xml:space="preserve">therefore </w:t>
      </w:r>
      <w:r w:rsidRPr="7AB20B56">
        <w:rPr>
          <w:lang w:val="en-US"/>
        </w:rPr>
        <w:t>assume</w:t>
      </w:r>
      <w:r>
        <w:rPr>
          <w:lang w:val="en-US"/>
        </w:rPr>
        <w:t>d sufficient</w:t>
      </w:r>
      <w:r w:rsidRPr="7AB20B56">
        <w:rPr>
          <w:lang w:val="en-US"/>
        </w:rPr>
        <w:t xml:space="preserve"> concordance between all three evaluators and for subsequent analyses, we calculated mean values of E-score and mode values of AQV for each participant.</w:t>
      </w:r>
    </w:p>
    <w:p w14:paraId="11B10A3C" w14:textId="3092FA5E" w:rsidR="0092009A" w:rsidRDefault="0092009A"/>
    <w:p w14:paraId="0D34116A" w14:textId="1050DF83" w:rsidR="0092009A" w:rsidRDefault="0092009A" w:rsidP="00B550A4">
      <w:pPr>
        <w:pStyle w:val="Nadpis3"/>
        <w:rPr>
          <w:lang w:val="en-US"/>
        </w:rPr>
      </w:pPr>
      <w:r>
        <w:rPr>
          <w:lang w:val="en-US"/>
        </w:rPr>
        <w:t>Exploratory data analysis</w:t>
      </w:r>
    </w:p>
    <w:p w14:paraId="099B6315" w14:textId="488C7F8C" w:rsidR="00CA518D" w:rsidRDefault="00CA518D" w:rsidP="00CA518D">
      <w:pPr>
        <w:rPr>
          <w:lang w:val="en-US"/>
        </w:rPr>
      </w:pPr>
      <w:r>
        <w:rPr>
          <w:lang w:val="en-US"/>
        </w:rPr>
        <w:t>Normality of the continuous variables (i.e., UQYBT Right, UYBT Left, UQYBT Total, CKCUEST and E-</w:t>
      </w:r>
      <w:r w:rsidR="00753EB8">
        <w:rPr>
          <w:lang w:val="en-US"/>
        </w:rPr>
        <w:t>score) is highlighted in Table 1</w:t>
      </w:r>
      <w:r>
        <w:rPr>
          <w:lang w:val="en-US"/>
        </w:rPr>
        <w:t>. All variables are normally distributed except for E-score.</w:t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2551"/>
      </w:tblGrid>
      <w:tr w:rsidR="00CA518D" w:rsidRPr="00E267D6" w14:paraId="0166CE23" w14:textId="77777777" w:rsidTr="003C0B3D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FF9E" w14:textId="77777777" w:rsidR="00CA518D" w:rsidRPr="00E267D6" w:rsidRDefault="00CA518D" w:rsidP="003C0B3D">
            <w:pPr>
              <w:spacing w:after="0" w:line="240" w:lineRule="auto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FDB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All participants (N = 111)</w:t>
            </w:r>
          </w:p>
        </w:tc>
      </w:tr>
      <w:tr w:rsidR="00CA518D" w:rsidRPr="00E267D6" w14:paraId="38994D0F" w14:textId="77777777" w:rsidTr="003C0B3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591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variable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3600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9A4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1AD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b/>
                <w:bCs/>
                <w:color w:val="000000"/>
                <w:sz w:val="20"/>
                <w:lang w:val="en-GB" w:eastAsia="en-GB"/>
              </w:rPr>
              <w:t>normality</w:t>
            </w:r>
          </w:p>
        </w:tc>
      </w:tr>
      <w:tr w:rsidR="00CA518D" w:rsidRPr="00E267D6" w14:paraId="5FD5FB16" w14:textId="77777777" w:rsidTr="003C0B3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0FAA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UQYBT Right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D715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10E0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4FD3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Yes</w:t>
            </w:r>
          </w:p>
        </w:tc>
      </w:tr>
      <w:tr w:rsidR="00CA518D" w:rsidRPr="00E267D6" w14:paraId="3A29EB2B" w14:textId="77777777" w:rsidTr="003C0B3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65FE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UQYBT Left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836F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212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0.39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0A31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bCs/>
                <w:color w:val="000000"/>
                <w:sz w:val="20"/>
                <w:lang w:val="en-GB" w:eastAsia="en-GB"/>
              </w:rPr>
              <w:t>Yes</w:t>
            </w:r>
          </w:p>
        </w:tc>
      </w:tr>
      <w:tr w:rsidR="00CA518D" w:rsidRPr="00E267D6" w14:paraId="26ADCE59" w14:textId="77777777" w:rsidTr="003C0B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3A4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UQYBT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E4F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D8C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1D53" w14:textId="77777777" w:rsidR="00CA518D" w:rsidRPr="00F63CB2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F63CB2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Yes</w:t>
            </w:r>
          </w:p>
        </w:tc>
      </w:tr>
      <w:tr w:rsidR="00CA518D" w:rsidRPr="00E267D6" w14:paraId="1F6107D9" w14:textId="77777777" w:rsidTr="003C0B3D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3F6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CKCUEST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715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E10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0.46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790F" w14:textId="77777777" w:rsidR="00CA518D" w:rsidRPr="00E267D6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val="en-GB" w:eastAsia="en-GB"/>
              </w:rPr>
            </w:pPr>
            <w:r w:rsidRPr="00E267D6">
              <w:rPr>
                <w:rFonts w:eastAsia="Times New Roman" w:cs="Times New Roman"/>
                <w:color w:val="000000"/>
                <w:sz w:val="20"/>
                <w:lang w:val="en-GB" w:eastAsia="en-GB"/>
              </w:rPr>
              <w:t>Yes</w:t>
            </w:r>
          </w:p>
        </w:tc>
      </w:tr>
    </w:tbl>
    <w:p w14:paraId="4CA7FE5A" w14:textId="567BEBA1" w:rsidR="00CA518D" w:rsidRDefault="00753EB8" w:rsidP="00753EB8">
      <w:pPr>
        <w:rPr>
          <w:shd w:val="clear" w:color="auto" w:fill="FFFFFF"/>
        </w:rPr>
      </w:pPr>
      <w:r>
        <w:rPr>
          <w:shd w:val="clear" w:color="auto" w:fill="FFFFFF"/>
        </w:rPr>
        <w:t>Table 1</w:t>
      </w:r>
      <w:r w:rsidR="00CA518D">
        <w:rPr>
          <w:shd w:val="clear" w:color="auto" w:fill="FFFFFF"/>
        </w:rPr>
        <w:t xml:space="preserve"> - Assumptions of normality of continuous variables included in data analysis.</w:t>
      </w:r>
    </w:p>
    <w:p w14:paraId="0231283F" w14:textId="77777777" w:rsidR="00B550A4" w:rsidRDefault="00B550A4" w:rsidP="00CA518D">
      <w:pPr>
        <w:pStyle w:val="Normlnweb"/>
        <w:spacing w:before="0" w:beforeAutospacing="0" w:after="200" w:afterAutospacing="0"/>
        <w:jc w:val="both"/>
        <w:rPr>
          <w:color w:val="3C4043"/>
          <w:sz w:val="22"/>
          <w:shd w:val="clear" w:color="auto" w:fill="FFFFFF"/>
        </w:rPr>
      </w:pPr>
    </w:p>
    <w:p w14:paraId="45532EBC" w14:textId="50AEB93D" w:rsidR="00CA518D" w:rsidRDefault="00CA518D" w:rsidP="00CA518D">
      <w:pPr>
        <w:rPr>
          <w:lang w:val="en-US"/>
        </w:rPr>
      </w:pPr>
      <w:r>
        <w:rPr>
          <w:lang w:val="en-US"/>
        </w:rPr>
        <w:t>The assumptions of variance equality of continuous variables was met between UQYBT Total &amp; E-score and between CKCUEST &amp; E-score. We highl</w:t>
      </w:r>
      <w:r w:rsidR="00753EB8">
        <w:rPr>
          <w:lang w:val="en-US"/>
        </w:rPr>
        <w:t>ight detailed results in Table 2</w:t>
      </w:r>
      <w:r>
        <w:rPr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093"/>
        <w:gridCol w:w="1843"/>
        <w:gridCol w:w="709"/>
        <w:gridCol w:w="1766"/>
      </w:tblGrid>
      <w:tr w:rsidR="00CA518D" w:rsidRPr="007B761A" w14:paraId="607CB924" w14:textId="77777777" w:rsidTr="003C0B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AA0BB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variables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500C0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A7EEB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Result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3EDEA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p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AFD1A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variance equality</w:t>
            </w:r>
          </w:p>
        </w:tc>
      </w:tr>
      <w:tr w:rsidR="00CA518D" w:rsidRPr="007B761A" w14:paraId="27E4AA21" w14:textId="77777777" w:rsidTr="003C0B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78D18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UQYBTT ~ E-score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CA498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Fligner-Killeen's 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30AA7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chi-squared = 23.09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C5B51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0.28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82A8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Yes</w:t>
            </w:r>
          </w:p>
        </w:tc>
      </w:tr>
      <w:tr w:rsidR="00CA518D" w:rsidRPr="007B761A" w14:paraId="7A2F0FEA" w14:textId="77777777" w:rsidTr="003C0B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F7E1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CKCUEST ~ E-score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52AD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Fligner-Killeen's test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98F4B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chi-squared = 27.78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AD629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0.11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6B94A" w14:textId="77777777" w:rsidR="00CA518D" w:rsidRPr="007B761A" w:rsidRDefault="00CA518D" w:rsidP="003C0B3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GB" w:eastAsia="en-GB"/>
              </w:rPr>
            </w:pPr>
            <w:r w:rsidRPr="007B761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Yes</w:t>
            </w:r>
          </w:p>
        </w:tc>
      </w:tr>
    </w:tbl>
    <w:p w14:paraId="7BAF6204" w14:textId="317AB06D" w:rsidR="00CA518D" w:rsidRDefault="00753EB8" w:rsidP="00753EB8">
      <w:pPr>
        <w:rPr>
          <w:shd w:val="clear" w:color="auto" w:fill="FFFFFF"/>
        </w:rPr>
      </w:pPr>
      <w:r>
        <w:rPr>
          <w:sz w:val="22"/>
          <w:shd w:val="clear" w:color="auto" w:fill="FFFFFF"/>
        </w:rPr>
        <w:t>Table 2</w:t>
      </w:r>
      <w:r w:rsidR="00CA518D">
        <w:rPr>
          <w:sz w:val="22"/>
          <w:shd w:val="clear" w:color="auto" w:fill="FFFFFF"/>
        </w:rPr>
        <w:t xml:space="preserve"> - Assumptions of </w:t>
      </w:r>
      <w:r w:rsidR="00CA518D">
        <w:rPr>
          <w:shd w:val="clear" w:color="auto" w:fill="FFFFFF"/>
        </w:rPr>
        <w:t>variance equality between all continuous variables</w:t>
      </w:r>
    </w:p>
    <w:p w14:paraId="472CF13A" w14:textId="77777777" w:rsidR="00CA518D" w:rsidRPr="00CA518D" w:rsidRDefault="00CA518D" w:rsidP="00CA518D">
      <w:pPr>
        <w:rPr>
          <w:lang w:val="en-US"/>
        </w:rPr>
      </w:pPr>
    </w:p>
    <w:p w14:paraId="218CBA72" w14:textId="21437536" w:rsidR="0092009A" w:rsidRDefault="00B550A4" w:rsidP="0092009A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Within association between variables, </w:t>
      </w:r>
      <w:r w:rsidR="0092009A" w:rsidRPr="7AB20B56">
        <w:rPr>
          <w:lang w:val="en-US"/>
        </w:rPr>
        <w:t xml:space="preserve">UQYBT </w:t>
      </w:r>
      <w:r w:rsidR="0092009A">
        <w:rPr>
          <w:lang w:val="en-US"/>
        </w:rPr>
        <w:t>Right and UQYBT Left</w:t>
      </w:r>
      <w:r w:rsidR="0092009A" w:rsidRPr="7AB20B56">
        <w:rPr>
          <w:lang w:val="en-US"/>
        </w:rPr>
        <w:t xml:space="preserve"> were highly and positively correlated (r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0.78 [0.70, 0.84], p &lt; 0.001), and both </w:t>
      </w:r>
      <w:r w:rsidR="0092009A">
        <w:rPr>
          <w:lang w:val="en-US"/>
        </w:rPr>
        <w:t>were</w:t>
      </w:r>
      <w:r w:rsidR="0092009A" w:rsidRPr="7AB20B56">
        <w:rPr>
          <w:lang w:val="en-US"/>
        </w:rPr>
        <w:t xml:space="preserve"> highly and positively correlated with </w:t>
      </w:r>
      <w:r w:rsidR="0092009A" w:rsidRPr="7AB20B56">
        <w:rPr>
          <w:color w:val="333333"/>
          <w:lang w:val="en-US"/>
        </w:rPr>
        <w:t xml:space="preserve">UQYBT </w:t>
      </w:r>
      <w:r w:rsidR="0092009A">
        <w:rPr>
          <w:color w:val="333333"/>
          <w:lang w:val="en-US"/>
        </w:rPr>
        <w:t>T</w:t>
      </w:r>
      <w:r w:rsidR="0092009A" w:rsidRPr="7AB20B56">
        <w:rPr>
          <w:color w:val="333333"/>
          <w:lang w:val="en-US"/>
        </w:rPr>
        <w:t>otal score (</w:t>
      </w:r>
      <w:r w:rsidR="0092009A" w:rsidRPr="7AB20B56">
        <w:rPr>
          <w:lang w:val="en-US"/>
        </w:rPr>
        <w:t>r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0.94 [0.92, 0.96], p &lt; 0.001</w:t>
      </w:r>
      <w:r w:rsidR="0092009A" w:rsidRPr="7AB20B56">
        <w:rPr>
          <w:color w:val="333333"/>
          <w:lang w:val="en-US"/>
        </w:rPr>
        <w:t xml:space="preserve"> and </w:t>
      </w:r>
      <w:r w:rsidR="0092009A" w:rsidRPr="7AB20B56">
        <w:rPr>
          <w:lang w:val="en-US"/>
        </w:rPr>
        <w:t>r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0.94 [0.92, 0.96], p &lt; 0.001</w:t>
      </w:r>
      <w:r w:rsidR="0092009A">
        <w:rPr>
          <w:lang w:val="en-US"/>
        </w:rPr>
        <w:t xml:space="preserve"> </w:t>
      </w:r>
      <w:r w:rsidR="0092009A" w:rsidRPr="7AB20B56">
        <w:rPr>
          <w:color w:val="333333"/>
          <w:lang w:val="en-US"/>
        </w:rPr>
        <w:t>for left and right arm, respectively</w:t>
      </w:r>
      <w:r w:rsidR="0092009A" w:rsidRPr="7AB20B56">
        <w:rPr>
          <w:lang w:val="en-US"/>
        </w:rPr>
        <w:t>)</w:t>
      </w:r>
      <w:r w:rsidR="0092009A" w:rsidRPr="7AB20B56">
        <w:rPr>
          <w:color w:val="333333"/>
          <w:lang w:val="en-US"/>
        </w:rPr>
        <w:t>.</w:t>
      </w:r>
      <w:r w:rsidR="0092009A" w:rsidRPr="7AB20B56">
        <w:rPr>
          <w:lang w:val="en-US"/>
        </w:rPr>
        <w:t xml:space="preserve"> </w:t>
      </w:r>
      <w:r w:rsidR="0092009A">
        <w:rPr>
          <w:lang w:val="en-US"/>
        </w:rPr>
        <w:t>The</w:t>
      </w:r>
      <w:r w:rsidR="0092009A" w:rsidRPr="7AB20B56">
        <w:rPr>
          <w:lang w:val="en-US"/>
        </w:rPr>
        <w:t xml:space="preserve"> </w:t>
      </w:r>
      <w:r w:rsidR="0092009A">
        <w:rPr>
          <w:lang w:val="en-US"/>
        </w:rPr>
        <w:t>association</w:t>
      </w:r>
      <w:r w:rsidR="0092009A" w:rsidRPr="7AB20B56">
        <w:rPr>
          <w:lang w:val="en-US"/>
        </w:rPr>
        <w:t xml:space="preserve"> between UQYBT</w:t>
      </w:r>
      <w:r w:rsidR="0092009A">
        <w:rPr>
          <w:lang w:val="en-US"/>
        </w:rPr>
        <w:t xml:space="preserve"> T</w:t>
      </w:r>
      <w:r w:rsidR="0092009A" w:rsidRPr="7AB20B56">
        <w:rPr>
          <w:lang w:val="en-US"/>
        </w:rPr>
        <w:t>otal and CKCUEST was negligible negative (r</w:t>
      </w:r>
      <w:r w:rsidR="00FA3A0E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-0.05 [-0.24, 0.14], p = 0.583). Results of Kendall’s rank correlation showed </w:t>
      </w:r>
      <w:r w:rsidR="0092009A">
        <w:rPr>
          <w:lang w:val="en-US"/>
        </w:rPr>
        <w:t xml:space="preserve">statistically non-significant weak </w:t>
      </w:r>
      <w:r w:rsidR="0092009A" w:rsidRPr="7AB20B56">
        <w:rPr>
          <w:lang w:val="en-US"/>
        </w:rPr>
        <w:t xml:space="preserve">negative </w:t>
      </w:r>
      <w:r w:rsidR="0092009A">
        <w:rPr>
          <w:lang w:val="en-US"/>
        </w:rPr>
        <w:t>association</w:t>
      </w:r>
      <w:r w:rsidR="0092009A" w:rsidRPr="7AB20B56">
        <w:rPr>
          <w:lang w:val="en-US"/>
        </w:rPr>
        <w:t xml:space="preserve"> between SPT and UQYBT</w:t>
      </w:r>
      <w:r w:rsidR="0092009A">
        <w:rPr>
          <w:lang w:val="en-US"/>
        </w:rPr>
        <w:t xml:space="preserve"> T</w:t>
      </w:r>
      <w:r w:rsidR="0092009A" w:rsidRPr="7AB20B56">
        <w:rPr>
          <w:lang w:val="en-US"/>
        </w:rPr>
        <w:t>otal (</w:t>
      </w:r>
      <w:r w:rsidR="0092009A">
        <w:rPr>
          <w:lang w:val="en-US"/>
        </w:rPr>
        <w:t>τ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-0.15 [-0.27, -0.03], p = 0.053), and negligible </w:t>
      </w:r>
      <w:r w:rsidR="0092009A">
        <w:rPr>
          <w:lang w:val="en-US"/>
        </w:rPr>
        <w:t>statistically non-significant</w:t>
      </w:r>
      <w:r w:rsidR="0092009A" w:rsidRPr="7AB20B56">
        <w:rPr>
          <w:lang w:val="en-US"/>
        </w:rPr>
        <w:t xml:space="preserve"> positive </w:t>
      </w:r>
      <w:r w:rsidR="0092009A">
        <w:rPr>
          <w:lang w:val="en-US"/>
        </w:rPr>
        <w:t>association</w:t>
      </w:r>
      <w:r w:rsidR="0092009A" w:rsidRPr="7AB20B56">
        <w:rPr>
          <w:lang w:val="en-US"/>
        </w:rPr>
        <w:t xml:space="preserve"> between SPT and CKCUEST (</w:t>
      </w:r>
      <w:r w:rsidR="0092009A">
        <w:rPr>
          <w:lang w:val="en-US"/>
        </w:rPr>
        <w:t>τ</w:t>
      </w:r>
      <w:r w:rsidR="0092009A">
        <w:rPr>
          <w:vertAlign w:val="subscript"/>
          <w:lang w:val="en-US"/>
        </w:rPr>
        <w:t>111</w:t>
      </w:r>
      <w:r w:rsidR="0092009A" w:rsidRPr="7AB20B56">
        <w:rPr>
          <w:lang w:val="en-US"/>
        </w:rPr>
        <w:t xml:space="preserve"> = 0.06 [-0.06, 0.17], p = 0.46). Results of correlation between </w:t>
      </w:r>
      <w:r w:rsidR="0092009A">
        <w:rPr>
          <w:lang w:val="en-US"/>
        </w:rPr>
        <w:t>The</w:t>
      </w:r>
      <w:r w:rsidR="0092009A" w:rsidRPr="7AB20B56">
        <w:rPr>
          <w:lang w:val="en-US"/>
        </w:rPr>
        <w:t xml:space="preserve"> AQV and E-score </w:t>
      </w:r>
      <w:r w:rsidR="0092009A">
        <w:rPr>
          <w:lang w:val="en-US"/>
        </w:rPr>
        <w:t>were statistically significantly</w:t>
      </w:r>
      <w:r w:rsidR="0092009A" w:rsidRPr="7AB20B56">
        <w:rPr>
          <w:lang w:val="en-US"/>
        </w:rPr>
        <w:t xml:space="preserve"> negative</w:t>
      </w:r>
      <w:r w:rsidR="0092009A">
        <w:rPr>
          <w:lang w:val="en-US"/>
        </w:rPr>
        <w:t>ly</w:t>
      </w:r>
      <w:r w:rsidR="0092009A" w:rsidRPr="00A52F44">
        <w:rPr>
          <w:lang w:val="en-US"/>
        </w:rPr>
        <w:t xml:space="preserve"> </w:t>
      </w:r>
      <w:r w:rsidR="0092009A">
        <w:rPr>
          <w:lang w:val="en-US"/>
        </w:rPr>
        <w:t>associated</w:t>
      </w:r>
      <w:r w:rsidR="0092009A" w:rsidRPr="7AB20B56">
        <w:rPr>
          <w:lang w:val="en-US"/>
        </w:rPr>
        <w:t xml:space="preserve"> (</w:t>
      </w:r>
      <w:r w:rsidR="0092009A">
        <w:rPr>
          <w:lang w:val="en-US"/>
        </w:rPr>
        <w:t>τ</w:t>
      </w:r>
      <w:r w:rsidR="0092009A">
        <w:rPr>
          <w:vertAlign w:val="subscript"/>
          <w:lang w:val="en-US"/>
        </w:rPr>
        <w:t>111</w:t>
      </w:r>
      <w:r w:rsidR="0092009A">
        <w:t xml:space="preserve"> </w:t>
      </w:r>
      <w:r w:rsidR="0092009A" w:rsidRPr="7AB20B56">
        <w:rPr>
          <w:lang w:val="en-US"/>
        </w:rPr>
        <w:t>= -0.68[-0.772, -0.581], p &lt; 0.001)</w:t>
      </w:r>
      <w:r w:rsidR="00753EB8">
        <w:rPr>
          <w:lang w:val="en-US"/>
        </w:rPr>
        <w:t>, see on Figure 1</w:t>
      </w:r>
      <w:r w:rsidR="0092009A" w:rsidRPr="7AB20B56">
        <w:rPr>
          <w:lang w:val="en-US"/>
        </w:rPr>
        <w:t>.</w:t>
      </w:r>
    </w:p>
    <w:p w14:paraId="127379CF" w14:textId="45D0601A" w:rsidR="0092009A" w:rsidRDefault="0092009A" w:rsidP="0092009A">
      <w:pPr>
        <w:jc w:val="both"/>
      </w:pPr>
    </w:p>
    <w:p w14:paraId="6603B11E" w14:textId="77777777" w:rsidR="0092009A" w:rsidRDefault="0092009A"/>
    <w:p w14:paraId="42CF295E" w14:textId="280B1817" w:rsidR="00CA518D" w:rsidRDefault="00CA518D" w:rsidP="0092009A">
      <w:pPr>
        <w:pStyle w:val="Normlnweb"/>
        <w:spacing w:before="0" w:beforeAutospacing="0" w:after="200" w:afterAutospacing="0"/>
        <w:jc w:val="both"/>
        <w:rPr>
          <w:color w:val="3C4043"/>
          <w:sz w:val="22"/>
          <w:shd w:val="clear" w:color="auto" w:fill="FFFFFF"/>
        </w:rPr>
      </w:pPr>
    </w:p>
    <w:p w14:paraId="5588C621" w14:textId="77777777" w:rsidR="00CA518D" w:rsidRPr="0092009A" w:rsidRDefault="00CA518D" w:rsidP="0092009A">
      <w:pPr>
        <w:pStyle w:val="Normlnweb"/>
        <w:spacing w:before="0" w:beforeAutospacing="0" w:after="200" w:afterAutospacing="0"/>
        <w:jc w:val="both"/>
        <w:rPr>
          <w:color w:val="3C4043"/>
          <w:sz w:val="22"/>
          <w:shd w:val="clear" w:color="auto" w:fill="FFFFFF"/>
        </w:rPr>
      </w:pPr>
    </w:p>
    <w:p w14:paraId="12CF72AC" w14:textId="63AF6DB4" w:rsidR="00C2290B" w:rsidRDefault="0092009A" w:rsidP="0092009A">
      <w:pPr>
        <w:rPr>
          <w:rFonts w:cs="Times New Roman"/>
          <w:color w:val="3C4043"/>
          <w:shd w:val="clear" w:color="auto" w:fill="FFFFFF"/>
          <w:lang w:val="en-US"/>
        </w:rPr>
      </w:pPr>
      <w:r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5921B99" wp14:editId="3139B55E">
            <wp:extent cx="3257550" cy="2876210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QV &amp; E-score relationship bet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841" cy="288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9058" w14:textId="773E078E" w:rsidR="0092009A" w:rsidRPr="00043A35" w:rsidRDefault="00753EB8" w:rsidP="0092009A">
      <w:pPr>
        <w:spacing w:after="0" w:line="276" w:lineRule="auto"/>
        <w:rPr>
          <w:iCs/>
          <w:lang w:val="en-US"/>
        </w:rPr>
      </w:pPr>
      <w:r>
        <w:rPr>
          <w:iCs/>
          <w:lang w:val="en-US"/>
        </w:rPr>
        <w:t>Figure 1</w:t>
      </w:r>
      <w:r w:rsidR="0092009A">
        <w:rPr>
          <w:iCs/>
          <w:lang w:val="en-US"/>
        </w:rPr>
        <w:t xml:space="preserve"> – Relationship between AQV and E-score</w:t>
      </w:r>
      <w:r>
        <w:rPr>
          <w:iCs/>
          <w:lang w:val="en-US"/>
        </w:rPr>
        <w:t xml:space="preserve"> within all participants</w:t>
      </w:r>
      <w:r w:rsidR="0092009A">
        <w:rPr>
          <w:iCs/>
          <w:lang w:val="en-US"/>
        </w:rPr>
        <w:t>.</w:t>
      </w:r>
    </w:p>
    <w:p w14:paraId="4639757F" w14:textId="72B200D7" w:rsidR="0092009A" w:rsidRPr="007B761A" w:rsidRDefault="0092009A" w:rsidP="00C2290B">
      <w:pPr>
        <w:rPr>
          <w:rFonts w:cs="Times New Roman"/>
          <w:color w:val="3C4043"/>
          <w:shd w:val="clear" w:color="auto" w:fill="FFFFFF"/>
          <w:lang w:val="en-US"/>
        </w:rPr>
      </w:pPr>
    </w:p>
    <w:p w14:paraId="63C048D6" w14:textId="0180672D" w:rsidR="0092009A" w:rsidRDefault="00B550A4" w:rsidP="00B550A4">
      <w:pPr>
        <w:pStyle w:val="Nadpis3"/>
        <w:rPr>
          <w:shd w:val="clear" w:color="auto" w:fill="FFFFFF"/>
        </w:rPr>
      </w:pPr>
      <w:r>
        <w:rPr>
          <w:lang w:val="en-US"/>
        </w:rPr>
        <w:t>Relationship between quality of handstand and stability and flexibility tests</w:t>
      </w:r>
    </w:p>
    <w:p w14:paraId="4B51030B" w14:textId="27AEF0BA" w:rsidR="0092009A" w:rsidRDefault="0092009A" w:rsidP="00B550A4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Pr="7AB20B56">
        <w:rPr>
          <w:lang w:val="en-US"/>
        </w:rPr>
        <w:t>VIF values for all three predictors were below the threshold, with UQYBT</w:t>
      </w:r>
      <w:r>
        <w:rPr>
          <w:lang w:val="en-US"/>
        </w:rPr>
        <w:t xml:space="preserve"> T</w:t>
      </w:r>
      <w:r w:rsidRPr="7AB20B56">
        <w:rPr>
          <w:lang w:val="en-US"/>
        </w:rPr>
        <w:t>otal = 1.08, CKCUEST = 1.01 and SPT = 1.08 thus we can reject multicol</w:t>
      </w:r>
      <w:r>
        <w:rPr>
          <w:lang w:val="en-US"/>
        </w:rPr>
        <w:t>l</w:t>
      </w:r>
      <w:r w:rsidRPr="7AB20B56">
        <w:rPr>
          <w:lang w:val="en-US"/>
        </w:rPr>
        <w:t>inearity between predictors and entre them into the considered model</w:t>
      </w:r>
      <w:r w:rsidR="00753EB8">
        <w:rPr>
          <w:lang w:val="en-US"/>
        </w:rPr>
        <w:t xml:space="preserve"> (Figure 2</w:t>
      </w:r>
      <w:r w:rsidR="00B550A4">
        <w:rPr>
          <w:lang w:val="en-US"/>
        </w:rPr>
        <w:t>)</w:t>
      </w:r>
      <w:r w:rsidRPr="7AB20B56">
        <w:rPr>
          <w:lang w:val="en-US"/>
        </w:rPr>
        <w:t>.</w:t>
      </w:r>
    </w:p>
    <w:p w14:paraId="71DA63B9" w14:textId="77777777" w:rsidR="0092009A" w:rsidRDefault="0092009A" w:rsidP="00C2290B">
      <w:pPr>
        <w:pStyle w:val="Normlnweb"/>
        <w:spacing w:before="0" w:beforeAutospacing="0" w:after="200" w:afterAutospacing="0"/>
        <w:jc w:val="both"/>
      </w:pPr>
    </w:p>
    <w:p w14:paraId="3B3606D6" w14:textId="4E529388" w:rsidR="005B2D93" w:rsidRDefault="00C2290B">
      <w:r w:rsidRPr="00E267D6">
        <w:rPr>
          <w:noProof/>
          <w:color w:val="3C4043"/>
          <w:shd w:val="clear" w:color="auto" w:fill="FFFFFF"/>
          <w:lang w:val="en-US"/>
        </w:rPr>
        <w:drawing>
          <wp:inline distT="0" distB="0" distL="0" distR="0" wp14:anchorId="3975ABFF" wp14:editId="72542B0D">
            <wp:extent cx="4572000" cy="2986461"/>
            <wp:effectExtent l="0" t="0" r="0" b="4445"/>
            <wp:docPr id="1" name="Obrázek 1" descr="C:\Users\malir\Desktop\VIF val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r\Desktop\VIF valu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686" cy="300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D534" w14:textId="1830F699" w:rsidR="00753EB8" w:rsidRPr="00753EB8" w:rsidRDefault="00753EB8">
      <w:pPr>
        <w:rPr>
          <w:shd w:val="clear" w:color="auto" w:fill="FFFFFF"/>
        </w:rPr>
      </w:pPr>
      <w:r>
        <w:rPr>
          <w:shd w:val="clear" w:color="auto" w:fill="FFFFFF"/>
        </w:rPr>
        <w:t>Figure 2</w:t>
      </w:r>
      <w:r w:rsidR="00B550A4">
        <w:rPr>
          <w:shd w:val="clear" w:color="auto" w:fill="FFFFFF"/>
        </w:rPr>
        <w:t xml:space="preserve"> - </w:t>
      </w:r>
      <w:r w:rsidR="00C2290B">
        <w:rPr>
          <w:shd w:val="clear" w:color="auto" w:fill="FFFFFF"/>
        </w:rPr>
        <w:t>Assumptions for ordinal logistic model – VIF values of the independent variables.</w:t>
      </w:r>
    </w:p>
    <w:sectPr w:rsidR="00753EB8" w:rsidRPr="0075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D5"/>
    <w:rsid w:val="00066C9B"/>
    <w:rsid w:val="00441DD3"/>
    <w:rsid w:val="00466790"/>
    <w:rsid w:val="00580DCA"/>
    <w:rsid w:val="005B2D93"/>
    <w:rsid w:val="00602ED5"/>
    <w:rsid w:val="00753EB8"/>
    <w:rsid w:val="0092009A"/>
    <w:rsid w:val="00AB76CE"/>
    <w:rsid w:val="00B550A4"/>
    <w:rsid w:val="00B6689C"/>
    <w:rsid w:val="00C2290B"/>
    <w:rsid w:val="00CA518D"/>
    <w:rsid w:val="00F63CB2"/>
    <w:rsid w:val="00F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4A0"/>
  <w15:chartTrackingRefBased/>
  <w15:docId w15:val="{92E7FEA0-DDB3-445B-8A3C-1E8498FE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09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50A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50A4"/>
    <w:pPr>
      <w:keepNext/>
      <w:keepLines/>
      <w:spacing w:before="40" w:after="0"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50A4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2290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styleId="Odkaznakoment">
    <w:name w:val="annotation reference"/>
    <w:uiPriority w:val="99"/>
    <w:semiHidden/>
    <w:unhideWhenUsed/>
    <w:rsid w:val="00920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009A"/>
    <w:pPr>
      <w:spacing w:line="240" w:lineRule="auto"/>
      <w:jc w:val="both"/>
    </w:pPr>
    <w:rPr>
      <w:rFonts w:eastAsia="Times New Roman" w:cs="Times New Roman"/>
      <w:color w:val="3C4043"/>
      <w:sz w:val="20"/>
      <w:szCs w:val="20"/>
      <w:highlight w:val="white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009A"/>
    <w:rPr>
      <w:rFonts w:ascii="Times New Roman" w:eastAsia="Times New Roman" w:hAnsi="Times New Roman" w:cs="Times New Roman"/>
      <w:color w:val="3C4043"/>
      <w:sz w:val="20"/>
      <w:szCs w:val="20"/>
      <w:highlight w:val="white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09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B550A4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50A4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50A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5466F9484C8438074DA155C88F3F4" ma:contentTypeVersion="6" ma:contentTypeDescription="Vytvoří nový dokument" ma:contentTypeScope="" ma:versionID="7a6fa5371e360c3dbb1671ed1bf7ac12">
  <xsd:schema xmlns:xsd="http://www.w3.org/2001/XMLSchema" xmlns:xs="http://www.w3.org/2001/XMLSchema" xmlns:p="http://schemas.microsoft.com/office/2006/metadata/properties" xmlns:ns2="d3d89a5a-e812-4c88-8476-063bf88b8dd3" xmlns:ns3="c2839ff5-48b2-4d6d-ad98-966151a977f6" targetNamespace="http://schemas.microsoft.com/office/2006/metadata/properties" ma:root="true" ma:fieldsID="8aa005c835e03aa88739434ec95e40c1" ns2:_="" ns3:_="">
    <xsd:import namespace="d3d89a5a-e812-4c88-8476-063bf88b8dd3"/>
    <xsd:import namespace="c2839ff5-48b2-4d6d-ad98-966151a97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89a5a-e812-4c88-8476-063bf88b8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9ff5-48b2-4d6d-ad98-966151a97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7E6CF9-AE0D-4E7E-81ED-96B88828A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89a5a-e812-4c88-8476-063bf88b8dd3"/>
    <ds:schemaRef ds:uri="c2839ff5-48b2-4d6d-ad98-966151a97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39573-B82B-47D8-932E-A88A4BA2F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4233D-497C-4BAA-850A-CD380DBDB780}">
  <ds:schemaRefs>
    <ds:schemaRef ds:uri="http://purl.org/dc/elements/1.1/"/>
    <ds:schemaRef ds:uri="http://schemas.microsoft.com/office/2006/metadata/properties"/>
    <ds:schemaRef ds:uri="d3d89a5a-e812-4c88-8476-063bf88b8dd3"/>
    <ds:schemaRef ds:uri="http://purl.org/dc/terms/"/>
    <ds:schemaRef ds:uri="http://schemas.openxmlformats.org/package/2006/metadata/core-properties"/>
    <ds:schemaRef ds:uri="c2839ff5-48b2-4d6d-ad98-966151a977f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Malíř</dc:creator>
  <cp:keywords/>
  <dc:description/>
  <cp:lastModifiedBy>Roman Malíř</cp:lastModifiedBy>
  <cp:revision>6</cp:revision>
  <dcterms:created xsi:type="dcterms:W3CDTF">2022-06-15T10:40:00Z</dcterms:created>
  <dcterms:modified xsi:type="dcterms:W3CDTF">2023-02-22T07:26:00Z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0x0101007695466F9484C8438074DA155C88F3F4</vt:lpwstr>
  </property>
</Properties>
</file>