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1CCD" w14:textId="3F8299BD" w:rsidR="007C7128" w:rsidRPr="00902639" w:rsidRDefault="00CC0969" w:rsidP="00A123D4">
      <w:pPr>
        <w:pStyle w:val="Title"/>
        <w:spacing w:before="0" w:after="0"/>
        <w:jc w:val="left"/>
        <w:rPr>
          <w:b/>
          <w:bCs w:val="0"/>
        </w:rPr>
      </w:pPr>
      <w:r w:rsidRPr="00902639">
        <w:rPr>
          <w:b/>
          <w:bCs w:val="0"/>
        </w:rPr>
        <w:t xml:space="preserve">Reciprocal effects of </w:t>
      </w:r>
      <w:proofErr w:type="spellStart"/>
      <w:r w:rsidR="000A51F8" w:rsidRPr="00902639">
        <w:rPr>
          <w:b/>
          <w:bCs w:val="0"/>
        </w:rPr>
        <w:t>esport</w:t>
      </w:r>
      <w:proofErr w:type="spellEnd"/>
      <w:r w:rsidR="000A51F8" w:rsidRPr="00902639">
        <w:rPr>
          <w:b/>
          <w:bCs w:val="0"/>
        </w:rPr>
        <w:t xml:space="preserve"> participation</w:t>
      </w:r>
      <w:r w:rsidRPr="00902639">
        <w:rPr>
          <w:b/>
          <w:bCs w:val="0"/>
        </w:rPr>
        <w:t xml:space="preserve"> and mental fatigue </w:t>
      </w:r>
      <w:r w:rsidR="00690741" w:rsidRPr="00902639">
        <w:rPr>
          <w:b/>
          <w:bCs w:val="0"/>
        </w:rPr>
        <w:t xml:space="preserve">among </w:t>
      </w:r>
      <w:r w:rsidR="00A25D11" w:rsidRPr="00902639">
        <w:rPr>
          <w:b/>
          <w:bCs w:val="0"/>
        </w:rPr>
        <w:t xml:space="preserve">Chinese undergraduate students </w:t>
      </w:r>
      <w:r w:rsidRPr="00902639">
        <w:rPr>
          <w:b/>
          <w:bCs w:val="0"/>
        </w:rPr>
        <w:t>using dynamic structural equation modeling</w:t>
      </w:r>
    </w:p>
    <w:p w14:paraId="534EC3C0" w14:textId="77777777" w:rsidR="00826C5F" w:rsidRDefault="00826C5F" w:rsidP="00902639">
      <w:pPr>
        <w:pStyle w:val="BodyText"/>
        <w:ind w:firstLine="0"/>
      </w:pPr>
      <w:r>
        <w:t xml:space="preserve">Yan </w:t>
      </w:r>
      <w:proofErr w:type="spellStart"/>
      <w:r>
        <w:t>Luo</w:t>
      </w:r>
      <w:r w:rsidRPr="00902639">
        <w:rPr>
          <w:vertAlign w:val="superscript"/>
        </w:rPr>
        <w:t>a</w:t>
      </w:r>
      <w:proofErr w:type="spellEnd"/>
      <w:r>
        <w:t xml:space="preserve">*, Jasmin C. </w:t>
      </w:r>
      <w:proofErr w:type="spellStart"/>
      <w:r>
        <w:t>Hutchinson</w:t>
      </w:r>
      <w:r w:rsidRPr="0017285C">
        <w:rPr>
          <w:vertAlign w:val="superscript"/>
        </w:rPr>
        <w:t>b</w:t>
      </w:r>
      <w:proofErr w:type="spellEnd"/>
      <w:r>
        <w:t xml:space="preserve">, Colleen S. </w:t>
      </w:r>
      <w:proofErr w:type="spellStart"/>
      <w:r>
        <w:t>O’Connell</w:t>
      </w:r>
      <w:r w:rsidRPr="0017285C">
        <w:rPr>
          <w:vertAlign w:val="superscript"/>
        </w:rPr>
        <w:t>a</w:t>
      </w:r>
      <w:proofErr w:type="spellEnd"/>
      <w:r>
        <w:t xml:space="preserve">, </w:t>
      </w:r>
      <w:proofErr w:type="spellStart"/>
      <w:r>
        <w:t>Yanru</w:t>
      </w:r>
      <w:proofErr w:type="spellEnd"/>
      <w:r>
        <w:t xml:space="preserve"> </w:t>
      </w:r>
      <w:proofErr w:type="spellStart"/>
      <w:r>
        <w:t>Sha</w:t>
      </w:r>
      <w:r w:rsidRPr="0017285C">
        <w:rPr>
          <w:vertAlign w:val="superscript"/>
        </w:rPr>
        <w:t>c</w:t>
      </w:r>
      <w:proofErr w:type="spellEnd"/>
    </w:p>
    <w:p w14:paraId="0FB870E6" w14:textId="77777777" w:rsidR="00826C5F" w:rsidRDefault="00826C5F" w:rsidP="002260DC">
      <w:pPr>
        <w:pStyle w:val="BodyText"/>
        <w:ind w:firstLine="0"/>
      </w:pPr>
      <w:proofErr w:type="spellStart"/>
      <w:r w:rsidRPr="00902639">
        <w:rPr>
          <w:vertAlign w:val="superscript"/>
        </w:rPr>
        <w:t>a</w:t>
      </w:r>
      <w:r>
        <w:t>Department</w:t>
      </w:r>
      <w:proofErr w:type="spellEnd"/>
      <w:r>
        <w:t xml:space="preserve"> of Physical Education and Health Education, Springfield College, Springfield, MA, USA, 01109;</w:t>
      </w:r>
    </w:p>
    <w:p w14:paraId="31CFDA5B" w14:textId="77777777" w:rsidR="00826C5F" w:rsidRDefault="00826C5F" w:rsidP="002260DC">
      <w:pPr>
        <w:pStyle w:val="BodyText"/>
        <w:ind w:firstLine="0"/>
      </w:pPr>
      <w:proofErr w:type="spellStart"/>
      <w:r w:rsidRPr="00902639">
        <w:rPr>
          <w:vertAlign w:val="superscript"/>
        </w:rPr>
        <w:t>b</w:t>
      </w:r>
      <w:r>
        <w:t>Department</w:t>
      </w:r>
      <w:proofErr w:type="spellEnd"/>
      <w:r>
        <w:t xml:space="preserve"> of Exercise Science and Athletic Training, Springfield College, Springfield, MA, USA, 01109;</w:t>
      </w:r>
    </w:p>
    <w:p w14:paraId="0DF8B4BF" w14:textId="77777777" w:rsidR="00826C5F" w:rsidRDefault="00826C5F" w:rsidP="002260DC">
      <w:pPr>
        <w:pStyle w:val="BodyText"/>
        <w:ind w:firstLine="0"/>
      </w:pPr>
      <w:proofErr w:type="spellStart"/>
      <w:r w:rsidRPr="00902639">
        <w:rPr>
          <w:vertAlign w:val="superscript"/>
        </w:rPr>
        <w:t>c</w:t>
      </w:r>
      <w:r>
        <w:t>Institute</w:t>
      </w:r>
      <w:proofErr w:type="spellEnd"/>
      <w:r>
        <w:t xml:space="preserve"> of Physical Education, Ningxia University, Yinchuan, Ningxia, China, 750021;</w:t>
      </w:r>
    </w:p>
    <w:p w14:paraId="193AB524" w14:textId="77777777" w:rsidR="00826C5F" w:rsidRDefault="00826C5F" w:rsidP="002260DC">
      <w:pPr>
        <w:pStyle w:val="BodyText"/>
        <w:ind w:firstLine="0"/>
      </w:pPr>
      <w:r>
        <w:t xml:space="preserve">Email address: </w:t>
      </w:r>
    </w:p>
    <w:p w14:paraId="7C43F0EE" w14:textId="77777777" w:rsidR="00826C5F" w:rsidRDefault="00826C5F" w:rsidP="002260DC">
      <w:pPr>
        <w:pStyle w:val="BodyText"/>
        <w:ind w:firstLine="0"/>
      </w:pPr>
      <w:r>
        <w:t>Yan Luo: yluo2@springfieldcollege.edu</w:t>
      </w:r>
    </w:p>
    <w:p w14:paraId="557EC5E8" w14:textId="13442E08" w:rsidR="00826C5F" w:rsidRDefault="00826C5F" w:rsidP="002260DC">
      <w:pPr>
        <w:pStyle w:val="BodyText"/>
        <w:ind w:firstLine="0"/>
      </w:pPr>
      <w:r>
        <w:t>Jasmi</w:t>
      </w:r>
      <w:r w:rsidR="00EA37BD">
        <w:t>n</w:t>
      </w:r>
      <w:r>
        <w:t xml:space="preserve"> C. Hutchinson: jhutchinson@springfieldcollege.edu</w:t>
      </w:r>
    </w:p>
    <w:p w14:paraId="7B7B4166" w14:textId="77777777" w:rsidR="00826C5F" w:rsidRDefault="00826C5F" w:rsidP="002260DC">
      <w:pPr>
        <w:pStyle w:val="BodyText"/>
        <w:ind w:firstLine="0"/>
      </w:pPr>
      <w:r>
        <w:t>Colleen S. O’Connell: coconnell3@springfieldcollege.edu</w:t>
      </w:r>
    </w:p>
    <w:p w14:paraId="4288EA61" w14:textId="77777777" w:rsidR="00826C5F" w:rsidRDefault="00826C5F" w:rsidP="002260DC">
      <w:pPr>
        <w:pStyle w:val="BodyText"/>
        <w:ind w:firstLine="0"/>
      </w:pPr>
      <w:proofErr w:type="spellStart"/>
      <w:r>
        <w:t>Yanru</w:t>
      </w:r>
      <w:proofErr w:type="spellEnd"/>
      <w:r>
        <w:t xml:space="preserve"> Sha: 123592032@qq.com</w:t>
      </w:r>
    </w:p>
    <w:p w14:paraId="19945CB0" w14:textId="77777777" w:rsidR="00826C5F" w:rsidRDefault="00826C5F" w:rsidP="002260DC">
      <w:pPr>
        <w:pStyle w:val="BodyText"/>
        <w:ind w:firstLine="0"/>
      </w:pPr>
      <w:r>
        <w:t>*Corresponding author</w:t>
      </w:r>
    </w:p>
    <w:p w14:paraId="1050C134" w14:textId="6BB4906B" w:rsidR="00826C5F" w:rsidRPr="00826C5F" w:rsidRDefault="00826C5F" w:rsidP="002260DC">
      <w:pPr>
        <w:pStyle w:val="BodyText"/>
        <w:ind w:firstLine="0"/>
      </w:pPr>
      <w:r>
        <w:t>Correspondence concerning this article should be addressed to Yan Luo, Department of Physical Education and Health Education, 263 Alden Street, Springfield College, Springfield, MA, USA, 01109. E-mail: yluo2@springfieldcollege.edu.</w:t>
      </w:r>
    </w:p>
    <w:p w14:paraId="62ED92DD" w14:textId="118E078A" w:rsidR="0069472A" w:rsidRDefault="0069472A" w:rsidP="002260DC">
      <w:pPr>
        <w:pStyle w:val="BodyText"/>
        <w:ind w:firstLine="0"/>
      </w:pPr>
      <w:r>
        <w:t>This is a preprint</w:t>
      </w:r>
    </w:p>
    <w:p w14:paraId="10C3E2F2" w14:textId="5B7A9BC7" w:rsidR="0069472A" w:rsidRPr="0069472A" w:rsidRDefault="00F700D5" w:rsidP="002260DC">
      <w:pPr>
        <w:pStyle w:val="BodyText"/>
        <w:ind w:firstLine="0"/>
      </w:pPr>
      <w:r>
        <w:t>Please cite as</w:t>
      </w:r>
      <w:r w:rsidR="004E071D">
        <w:t xml:space="preserve">: </w:t>
      </w:r>
      <w:r w:rsidR="0050538D">
        <w:t>Luo, Y., Hutchinson</w:t>
      </w:r>
      <w:r w:rsidR="00C45A41">
        <w:t>,</w:t>
      </w:r>
      <w:r w:rsidR="0050538D">
        <w:t xml:space="preserve"> J.</w:t>
      </w:r>
      <w:r w:rsidR="00B95812">
        <w:t xml:space="preserve"> C.</w:t>
      </w:r>
      <w:r w:rsidR="0050538D">
        <w:t>, O’Connell</w:t>
      </w:r>
      <w:r w:rsidR="0033609A">
        <w:t>,</w:t>
      </w:r>
      <w:r w:rsidR="0050538D">
        <w:t xml:space="preserve"> C.</w:t>
      </w:r>
      <w:r w:rsidR="00E54CC6">
        <w:t xml:space="preserve"> S.</w:t>
      </w:r>
      <w:r w:rsidR="0050538D">
        <w:t xml:space="preserve">, </w:t>
      </w:r>
      <w:r w:rsidR="00157E26">
        <w:t>Sha</w:t>
      </w:r>
      <w:r w:rsidR="00A028F8">
        <w:t>,</w:t>
      </w:r>
      <w:r w:rsidR="00157E26">
        <w:t xml:space="preserve"> Y. (2022). </w:t>
      </w:r>
      <w:r w:rsidR="00157E26" w:rsidRPr="00157E26">
        <w:t xml:space="preserve">Reciprocal effects of </w:t>
      </w:r>
      <w:proofErr w:type="spellStart"/>
      <w:r w:rsidR="00157E26" w:rsidRPr="00157E26">
        <w:t>esport</w:t>
      </w:r>
      <w:proofErr w:type="spellEnd"/>
      <w:r w:rsidR="00157E26" w:rsidRPr="00157E26">
        <w:t xml:space="preserve"> participation and mental fatigue among Chinese undergraduate students using dynamic structural equation modeling</w:t>
      </w:r>
      <w:r w:rsidR="00BF1B9E">
        <w:t xml:space="preserve">. </w:t>
      </w:r>
      <w:proofErr w:type="spellStart"/>
      <w:r w:rsidR="00BF1B9E" w:rsidRPr="008E4C06">
        <w:rPr>
          <w:i/>
          <w:iCs/>
        </w:rPr>
        <w:t>SportRxiv</w:t>
      </w:r>
      <w:proofErr w:type="spellEnd"/>
      <w:r w:rsidR="008E4C06">
        <w:t>.</w:t>
      </w:r>
    </w:p>
    <w:p w14:paraId="289392C5" w14:textId="407268BB" w:rsidR="008C6661" w:rsidRPr="005C3CE4" w:rsidRDefault="008C6661" w:rsidP="007C2906">
      <w:pPr>
        <w:pStyle w:val="BodyText"/>
        <w:ind w:firstLine="0"/>
      </w:pPr>
    </w:p>
    <w:p w14:paraId="7E613989" w14:textId="091472FB" w:rsidR="007C7128" w:rsidRPr="005C3CE4" w:rsidRDefault="00CC0969" w:rsidP="007C2906">
      <w:pPr>
        <w:pStyle w:val="h1-pagebreak"/>
      </w:pPr>
      <w:r w:rsidRPr="005C3CE4">
        <w:lastRenderedPageBreak/>
        <w:t xml:space="preserve">Reciprocal effects of </w:t>
      </w:r>
      <w:proofErr w:type="spellStart"/>
      <w:r w:rsidR="00AD33AB" w:rsidRPr="005C3CE4">
        <w:t>esport</w:t>
      </w:r>
      <w:proofErr w:type="spellEnd"/>
      <w:r w:rsidR="00AD33AB" w:rsidRPr="005C3CE4">
        <w:t xml:space="preserve"> participation</w:t>
      </w:r>
      <w:r w:rsidRPr="005C3CE4">
        <w:t xml:space="preserve"> and mental fatigue </w:t>
      </w:r>
      <w:r w:rsidR="00777FDA" w:rsidRPr="005C3CE4">
        <w:t xml:space="preserve">among Chinese undergraduate students </w:t>
      </w:r>
      <w:r w:rsidRPr="005C3CE4">
        <w:t>using dynamic structural equation modeling</w:t>
      </w:r>
    </w:p>
    <w:p w14:paraId="72E93D92" w14:textId="77777777" w:rsidR="007C7128" w:rsidRPr="005C3CE4" w:rsidRDefault="00CC0969" w:rsidP="00000975">
      <w:pPr>
        <w:pStyle w:val="Heading1"/>
      </w:pPr>
      <w:bookmarkStart w:id="0" w:name="introduction"/>
      <w:r w:rsidRPr="005C3CE4">
        <w:t>Introduction</w:t>
      </w:r>
    </w:p>
    <w:p w14:paraId="78EBED2B" w14:textId="47A6BAF9" w:rsidR="007C7128" w:rsidRPr="005C3CE4" w:rsidRDefault="00CC0969">
      <w:pPr>
        <w:pStyle w:val="FirstParagraph"/>
      </w:pPr>
      <w:r w:rsidRPr="005C3CE4">
        <w:t xml:space="preserve">Electronic sport, often known as </w:t>
      </w:r>
      <w:proofErr w:type="spellStart"/>
      <w:r w:rsidRPr="005C3CE4">
        <w:t>esport</w:t>
      </w:r>
      <w:proofErr w:type="spellEnd"/>
      <w:r w:rsidRPr="005C3CE4">
        <w:t xml:space="preserve"> or competitive gaming, has increased in popularity in recent years</w:t>
      </w:r>
      <w:r w:rsidR="00D45EEA">
        <w:t xml:space="preserve">. </w:t>
      </w:r>
      <w:r w:rsidRPr="005C3CE4">
        <w:t xml:space="preserve">Presently, there is no universal agreement on whether </w:t>
      </w:r>
      <w:proofErr w:type="spellStart"/>
      <w:r w:rsidRPr="005C3CE4">
        <w:t>esport</w:t>
      </w:r>
      <w:proofErr w:type="spellEnd"/>
      <w:r w:rsidRPr="005C3CE4">
        <w:t xml:space="preserve"> should be considered a legitimate sport (Cunningham et al., 2018; Funk et al., 2018). However, a recent review article encouraged incorporating </w:t>
      </w:r>
      <w:proofErr w:type="spellStart"/>
      <w:r w:rsidRPr="005C3CE4">
        <w:t>esport</w:t>
      </w:r>
      <w:proofErr w:type="spellEnd"/>
      <w:r w:rsidRPr="005C3CE4">
        <w:t xml:space="preserve"> in the study of sport psychology</w:t>
      </w:r>
      <w:r w:rsidR="00366F0F">
        <w:t xml:space="preserve">, </w:t>
      </w:r>
      <w:r w:rsidRPr="005C3CE4">
        <w:t>defin</w:t>
      </w:r>
      <w:r w:rsidR="00366F0F">
        <w:t>ing</w:t>
      </w:r>
      <w:r w:rsidRPr="005C3CE4">
        <w:t xml:space="preserve"> </w:t>
      </w:r>
      <w:proofErr w:type="spellStart"/>
      <w:r w:rsidRPr="005C3CE4">
        <w:t>esport</w:t>
      </w:r>
      <w:proofErr w:type="spellEnd"/>
      <w:r w:rsidRPr="005C3CE4">
        <w:t xml:space="preserve"> as a causal or organized competitive activity in which players play video games through electronic platforms that have ranking systems and competitions governed by official leagues at the professional or amateur level (Pedraza-Ramirez et al., 2020). By this definition, </w:t>
      </w:r>
      <w:proofErr w:type="spellStart"/>
      <w:r w:rsidRPr="005C3CE4">
        <w:t>esport</w:t>
      </w:r>
      <w:proofErr w:type="spellEnd"/>
      <w:r w:rsidRPr="005C3CE4">
        <w:t xml:space="preserve"> should be regarded a genuine sport (competitive activity), in contrast to other video games that are mainly recreational in nature.</w:t>
      </w:r>
    </w:p>
    <w:p w14:paraId="155D6549" w14:textId="77777777" w:rsidR="00880F4B" w:rsidRDefault="00CC0969">
      <w:pPr>
        <w:pStyle w:val="BodyText"/>
      </w:pPr>
      <w:r w:rsidRPr="005C3CE4">
        <w:t xml:space="preserve">China surpassed the US as the world’s largest market for digital gaming in 2016 (Zhao &amp; Lin, 2021). </w:t>
      </w:r>
      <w:proofErr w:type="spellStart"/>
      <w:r w:rsidRPr="005C3CE4">
        <w:t>Esport</w:t>
      </w:r>
      <w:proofErr w:type="spellEnd"/>
      <w:r w:rsidRPr="005C3CE4">
        <w:t xml:space="preserve"> is highly popular among Chinese college students. According to the 2017 Report on the Development of Chinese </w:t>
      </w:r>
      <w:proofErr w:type="spellStart"/>
      <w:r w:rsidRPr="005C3CE4">
        <w:t>Esport</w:t>
      </w:r>
      <w:proofErr w:type="spellEnd"/>
      <w:r w:rsidRPr="005C3CE4">
        <w:t xml:space="preserve">, 87% of Chinese college students have participated in </w:t>
      </w:r>
      <w:proofErr w:type="spellStart"/>
      <w:r w:rsidRPr="005C3CE4">
        <w:t>esport</w:t>
      </w:r>
      <w:proofErr w:type="spellEnd"/>
      <w:r w:rsidRPr="005C3CE4">
        <w:t xml:space="preserve"> before (</w:t>
      </w:r>
      <w:r w:rsidRPr="005C3CE4">
        <w:rPr>
          <w:i/>
          <w:iCs/>
        </w:rPr>
        <w:t xml:space="preserve">Report on the Development of Chinese </w:t>
      </w:r>
      <w:proofErr w:type="spellStart"/>
      <w:r w:rsidRPr="005C3CE4">
        <w:rPr>
          <w:i/>
          <w:iCs/>
        </w:rPr>
        <w:t>Esport</w:t>
      </w:r>
      <w:proofErr w:type="spellEnd"/>
      <w:r w:rsidRPr="005C3CE4">
        <w:t xml:space="preserve">, n.d.). The most popular </w:t>
      </w:r>
      <w:proofErr w:type="spellStart"/>
      <w:r w:rsidRPr="005C3CE4">
        <w:t>esport</w:t>
      </w:r>
      <w:proofErr w:type="spellEnd"/>
      <w:r w:rsidRPr="005C3CE4">
        <w:t xml:space="preserve"> genre for this population is multiplayer online battle arena (MOBA) games such as League of Legends (LOL) played on PC and Honor of Kings (HOK) played on mobile devices. </w:t>
      </w:r>
    </w:p>
    <w:p w14:paraId="0DF67074" w14:textId="5C0590A8" w:rsidR="007C7128" w:rsidRPr="005C3CE4" w:rsidRDefault="00CC0969">
      <w:pPr>
        <w:pStyle w:val="BodyText"/>
      </w:pPr>
      <w:r w:rsidRPr="005C3CE4">
        <w:t xml:space="preserve">Participating in </w:t>
      </w:r>
      <w:proofErr w:type="spellStart"/>
      <w:r w:rsidRPr="005C3CE4">
        <w:t>esport</w:t>
      </w:r>
      <w:proofErr w:type="spellEnd"/>
      <w:r w:rsidRPr="005C3CE4">
        <w:t xml:space="preserve"> can be a pleasant and relaxing </w:t>
      </w:r>
      <w:r w:rsidR="007C6F16" w:rsidRPr="005C3CE4">
        <w:t>pastime and</w:t>
      </w:r>
      <w:r w:rsidRPr="005C3CE4">
        <w:t xml:space="preserve"> may sometimes serve as a way to escape from the hectic college life. However, because playing </w:t>
      </w:r>
      <w:proofErr w:type="spellStart"/>
      <w:r w:rsidRPr="005C3CE4">
        <w:t>esport</w:t>
      </w:r>
      <w:proofErr w:type="spellEnd"/>
      <w:r w:rsidRPr="005C3CE4">
        <w:t xml:space="preserve"> frequently requires a high level of cognitive engagement, </w:t>
      </w:r>
      <w:r w:rsidR="0038352E">
        <w:t>excessive participation</w:t>
      </w:r>
      <w:r w:rsidRPr="005C3CE4">
        <w:t xml:space="preserve"> may result in a high level of mental fatigue (MF), a factor that has been shown to have a detrimental effect on students’ psychological well-being and academic performance (Smith, 2018). Hence, it is critical to understand the relationship between </w:t>
      </w:r>
      <w:proofErr w:type="spellStart"/>
      <w:r w:rsidR="00C77DF1" w:rsidRPr="005C3CE4">
        <w:t>esport</w:t>
      </w:r>
      <w:proofErr w:type="spellEnd"/>
      <w:r w:rsidR="00C77DF1" w:rsidRPr="005C3CE4">
        <w:t xml:space="preserve"> participation</w:t>
      </w:r>
      <w:r w:rsidR="005D79FC" w:rsidRPr="005C3CE4">
        <w:t xml:space="preserve"> (EP)</w:t>
      </w:r>
      <w:r w:rsidRPr="005C3CE4">
        <w:t xml:space="preserve"> and MF to provide evidence for the formulation of </w:t>
      </w:r>
      <w:r w:rsidRPr="005C3CE4">
        <w:lastRenderedPageBreak/>
        <w:t xml:space="preserve">intervention programs that might positively impact quality of life and academic achievement for </w:t>
      </w:r>
      <w:r w:rsidR="00CF5337">
        <w:t>college</w:t>
      </w:r>
      <w:r w:rsidR="006A4FB7">
        <w:t xml:space="preserve"> </w:t>
      </w:r>
      <w:proofErr w:type="spellStart"/>
      <w:r w:rsidRPr="005C3CE4">
        <w:t>esport</w:t>
      </w:r>
      <w:proofErr w:type="spellEnd"/>
      <w:r w:rsidRPr="005C3CE4">
        <w:t xml:space="preserve"> players.</w:t>
      </w:r>
    </w:p>
    <w:p w14:paraId="4244BFEC" w14:textId="2E1D10EC" w:rsidR="007C7128" w:rsidRPr="005C3CE4" w:rsidRDefault="00CC0969">
      <w:pPr>
        <w:pStyle w:val="BodyText"/>
        <w:rPr>
          <w:lang w:eastAsia="zh-CN"/>
        </w:rPr>
      </w:pPr>
      <w:r w:rsidRPr="005C3CE4">
        <w:t xml:space="preserve">MF is a </w:t>
      </w:r>
      <w:bookmarkStart w:id="1" w:name="_Hlk87611489"/>
      <w:r w:rsidRPr="005C3CE4">
        <w:t xml:space="preserve">psychobiological state that can be caused by extended participation in cognitively demanding activities </w:t>
      </w:r>
      <w:bookmarkEnd w:id="1"/>
      <w:r w:rsidRPr="005C3CE4">
        <w:t>(</w:t>
      </w:r>
      <w:proofErr w:type="spellStart"/>
      <w:r w:rsidRPr="005C3CE4">
        <w:t>Marcora</w:t>
      </w:r>
      <w:proofErr w:type="spellEnd"/>
      <w:r w:rsidRPr="005C3CE4">
        <w:t xml:space="preserve"> et al., 2009). MF is associated with feelings of tiredness, exhaustion, and task aversion, as well as impaired cognitive and behavioral performance (</w:t>
      </w:r>
      <w:proofErr w:type="spellStart"/>
      <w:r w:rsidRPr="005C3CE4">
        <w:t>Boksem</w:t>
      </w:r>
      <w:proofErr w:type="spellEnd"/>
      <w:r w:rsidRPr="005C3CE4">
        <w:t xml:space="preserve"> et al., 2005). Participating in </w:t>
      </w:r>
      <w:proofErr w:type="spellStart"/>
      <w:r w:rsidRPr="005C3CE4">
        <w:t>esport</w:t>
      </w:r>
      <w:proofErr w:type="spellEnd"/>
      <w:r w:rsidRPr="005C3CE4">
        <w:t xml:space="preserve"> is an example of a cognitively demanding activity that can result in MF (Andre et al., 2020). Likewise, </w:t>
      </w:r>
      <w:r w:rsidR="0003317D" w:rsidRPr="005C3CE4">
        <w:t>p</w:t>
      </w:r>
      <w:r w:rsidR="0003317D">
        <w:t>r</w:t>
      </w:r>
      <w:r w:rsidR="0003317D" w:rsidRPr="005C3CE4">
        <w:t>oblematic</w:t>
      </w:r>
      <w:r w:rsidRPr="005C3CE4">
        <w:t xml:space="preserve"> gaming behavior (also known as gaming disorder) has been associated with increased levels of MF (</w:t>
      </w:r>
      <w:proofErr w:type="spellStart"/>
      <w:r w:rsidRPr="005C3CE4">
        <w:t>Mannikko</w:t>
      </w:r>
      <w:proofErr w:type="spellEnd"/>
      <w:r w:rsidRPr="005C3CE4">
        <w:t xml:space="preserve"> et al., 2015). </w:t>
      </w:r>
      <w:r w:rsidR="006F2B0C" w:rsidRPr="006F2B0C">
        <w:t xml:space="preserve">Fortes et al., </w:t>
      </w:r>
      <w:r w:rsidR="006F2B0C">
        <w:t>(</w:t>
      </w:r>
      <w:r w:rsidR="006F2B0C" w:rsidRPr="006F2B0C">
        <w:t>2020</w:t>
      </w:r>
      <w:r w:rsidR="006F2B0C">
        <w:t xml:space="preserve">) confirmed </w:t>
      </w:r>
      <w:r w:rsidR="0081380F">
        <w:t xml:space="preserve">the positive effect of gaming on MF </w:t>
      </w:r>
      <w:r w:rsidR="006F2B0C">
        <w:t xml:space="preserve">in their </w:t>
      </w:r>
      <w:r w:rsidRPr="005C3CE4">
        <w:t xml:space="preserve">experimental study, </w:t>
      </w:r>
      <w:r w:rsidR="00E66FD8">
        <w:t>where</w:t>
      </w:r>
      <w:r w:rsidRPr="005C3CE4">
        <w:t xml:space="preserve"> playing a 30-minute video game induced higher level of MF than watching </w:t>
      </w:r>
      <w:r w:rsidR="00BA7923" w:rsidRPr="005C3CE4">
        <w:t xml:space="preserve">a </w:t>
      </w:r>
      <w:r w:rsidRPr="005C3CE4">
        <w:t>30-minute advertisement video. However, other experimental studies have not found a substantial increase in MF after playing video games (</w:t>
      </w:r>
      <w:proofErr w:type="spellStart"/>
      <w:r w:rsidRPr="005C3CE4">
        <w:t>Gundogdu</w:t>
      </w:r>
      <w:proofErr w:type="spellEnd"/>
      <w:r w:rsidRPr="005C3CE4">
        <w:t xml:space="preserve"> et al., 2021). These contradictory findings may be explained by the </w:t>
      </w:r>
      <w:r w:rsidR="00393920">
        <w:t xml:space="preserve">use of </w:t>
      </w:r>
      <w:r w:rsidRPr="005C3CE4">
        <w:t>various video game genres, game durations, MF assessments, and time gaps between game play and MF assessment.</w:t>
      </w:r>
    </w:p>
    <w:p w14:paraId="628399E6" w14:textId="63EB18B6" w:rsidR="007C7128" w:rsidRPr="005C3CE4" w:rsidRDefault="00CC0969">
      <w:pPr>
        <w:pStyle w:val="BodyText"/>
      </w:pPr>
      <w:r w:rsidRPr="005C3CE4">
        <w:t xml:space="preserve">While </w:t>
      </w:r>
      <w:r w:rsidR="00BA7923" w:rsidRPr="005C3CE4">
        <w:t xml:space="preserve">most </w:t>
      </w:r>
      <w:r w:rsidRPr="005C3CE4">
        <w:t xml:space="preserve">research </w:t>
      </w:r>
      <w:r w:rsidR="00BA7923" w:rsidRPr="005C3CE4">
        <w:t xml:space="preserve">has </w:t>
      </w:r>
      <w:r w:rsidRPr="005C3CE4">
        <w:t xml:space="preserve">found a positive correlation between video gaming and MF, many limitations remain. </w:t>
      </w:r>
      <w:r w:rsidR="00A20F47">
        <w:t>First</w:t>
      </w:r>
      <w:r w:rsidRPr="005C3CE4">
        <w:t xml:space="preserve">, none of the previous studies have accounted for the effect of time gap between game play and MF assessment. It is reasonable to speculate that the level of MF right after gameplay would be different from MF after a period of time following gameplay. Second, although video gaming is likely to cause MF, nothing is known about whether greater game participation leads </w:t>
      </w:r>
      <w:r w:rsidR="00BA7923" w:rsidRPr="005C3CE4">
        <w:t xml:space="preserve">to </w:t>
      </w:r>
      <w:r w:rsidRPr="005C3CE4">
        <w:t>a higher degree of MF. Third, previous studies have focused only on the unidirectional effect of video gaming on MF</w:t>
      </w:r>
      <w:r w:rsidR="00B554C4">
        <w:t xml:space="preserve"> without </w:t>
      </w:r>
      <w:r w:rsidR="002C52EC">
        <w:t xml:space="preserve">consideration that </w:t>
      </w:r>
      <w:r w:rsidR="008640A6">
        <w:t>MF may also have a negative impact on future game participation</w:t>
      </w:r>
      <w:r w:rsidRPr="005C3CE4">
        <w:t>.</w:t>
      </w:r>
      <w:r w:rsidR="008640A6">
        <w:t xml:space="preserve"> In their </w:t>
      </w:r>
      <w:r w:rsidRPr="005C3CE4">
        <w:t>systematic review</w:t>
      </w:r>
      <w:r w:rsidR="008640A6">
        <w:t>,</w:t>
      </w:r>
      <w:r w:rsidR="00E00A9E" w:rsidRPr="00E00A9E">
        <w:t xml:space="preserve"> </w:t>
      </w:r>
      <w:proofErr w:type="spellStart"/>
      <w:r w:rsidR="00E00A9E" w:rsidRPr="00E00A9E">
        <w:t>Peracchia</w:t>
      </w:r>
      <w:proofErr w:type="spellEnd"/>
      <w:r w:rsidR="00E00A9E" w:rsidRPr="00E00A9E">
        <w:t xml:space="preserve"> </w:t>
      </w:r>
      <w:r w:rsidR="003E2BC6">
        <w:t>and</w:t>
      </w:r>
      <w:r w:rsidR="00E00A9E" w:rsidRPr="00E00A9E">
        <w:t xml:space="preserve"> Curcio</w:t>
      </w:r>
      <w:r w:rsidR="00E00A9E">
        <w:t xml:space="preserve"> (</w:t>
      </w:r>
      <w:r w:rsidR="00E00A9E" w:rsidRPr="00E00A9E">
        <w:t>2018</w:t>
      </w:r>
      <w:r w:rsidR="00E00A9E">
        <w:t>)</w:t>
      </w:r>
      <w:r w:rsidRPr="005C3CE4">
        <w:t xml:space="preserve"> reported that </w:t>
      </w:r>
      <w:r w:rsidR="003F0F1A">
        <w:t xml:space="preserve">a </w:t>
      </w:r>
      <w:r w:rsidRPr="005C3CE4">
        <w:t xml:space="preserve">high amount of video gaming may </w:t>
      </w:r>
      <w:r w:rsidR="00640EE7">
        <w:t>negatively</w:t>
      </w:r>
      <w:r w:rsidRPr="005C3CE4">
        <w:t xml:space="preserve"> impact </w:t>
      </w:r>
      <w:r w:rsidR="00B055B8" w:rsidRPr="005C3CE4">
        <w:t>cognitively</w:t>
      </w:r>
      <w:r w:rsidR="00B055B8">
        <w:t xml:space="preserve"> demanding</w:t>
      </w:r>
      <w:r w:rsidRPr="005C3CE4">
        <w:t xml:space="preserve"> activities the following day, which may be caused by after-game MF. Fourth, </w:t>
      </w:r>
      <w:r w:rsidRPr="005C3CE4">
        <w:lastRenderedPageBreak/>
        <w:t xml:space="preserve">previous research has omitted the notion that MF and video gaming are unstable rather than stable variables (i.e., they tend to vary within a short time interval). Examining the relationship between video gaming and MF while </w:t>
      </w:r>
      <w:r w:rsidR="005A6D4E">
        <w:t>considering</w:t>
      </w:r>
      <w:r w:rsidRPr="005C3CE4">
        <w:t xml:space="preserve"> their instability over time may reveal</w:t>
      </w:r>
      <w:r w:rsidR="00E457E4">
        <w:t xml:space="preserve"> additional</w:t>
      </w:r>
      <w:r w:rsidRPr="005C3CE4">
        <w:t xml:space="preserve"> insight into how they relate to each other. Lastly, it is still unclear if participating in </w:t>
      </w:r>
      <w:proofErr w:type="spellStart"/>
      <w:r w:rsidRPr="005C3CE4">
        <w:t>esport</w:t>
      </w:r>
      <w:proofErr w:type="spellEnd"/>
      <w:r w:rsidRPr="005C3CE4">
        <w:t xml:space="preserve"> has an impact on MF, since </w:t>
      </w:r>
      <w:proofErr w:type="spellStart"/>
      <w:r w:rsidRPr="005C3CE4">
        <w:t>Aliyari</w:t>
      </w:r>
      <w:proofErr w:type="spellEnd"/>
      <w:r w:rsidRPr="005C3CE4">
        <w:t xml:space="preserve"> et al. (2020) discovered that different game genres may have </w:t>
      </w:r>
      <w:r w:rsidR="007C6F16">
        <w:t>different</w:t>
      </w:r>
      <w:r w:rsidR="007C6F16" w:rsidRPr="005C3CE4">
        <w:t xml:space="preserve"> </w:t>
      </w:r>
      <w:r w:rsidRPr="005C3CE4">
        <w:t xml:space="preserve">effects on MF. Therefore, it is critical to distinguish </w:t>
      </w:r>
      <w:proofErr w:type="spellStart"/>
      <w:r w:rsidRPr="005C3CE4">
        <w:t>esport</w:t>
      </w:r>
      <w:proofErr w:type="spellEnd"/>
      <w:r w:rsidRPr="005C3CE4">
        <w:t xml:space="preserve"> from regular video games due to its unique characteristics; for example, problematic gaming behavior is assumed </w:t>
      </w:r>
      <w:r w:rsidR="007C6F16">
        <w:t xml:space="preserve">to be </w:t>
      </w:r>
      <w:r w:rsidRPr="005C3CE4">
        <w:t xml:space="preserve">more prevalent among </w:t>
      </w:r>
      <w:proofErr w:type="spellStart"/>
      <w:r w:rsidRPr="005C3CE4">
        <w:t>esport</w:t>
      </w:r>
      <w:proofErr w:type="spellEnd"/>
      <w:r w:rsidRPr="005C3CE4">
        <w:t xml:space="preserve"> players than traditional online gamers (Chung et al., 2019).</w:t>
      </w:r>
    </w:p>
    <w:p w14:paraId="6DB3EC3C" w14:textId="0CE5A9D7" w:rsidR="007C7128" w:rsidRPr="005C3CE4" w:rsidRDefault="00CC0969">
      <w:pPr>
        <w:pStyle w:val="BodyText"/>
      </w:pPr>
      <w:r w:rsidRPr="005C3CE4">
        <w:t xml:space="preserve">In light of previous limitations in this area of research, this study used an event-contingent ambulatory assessment </w:t>
      </w:r>
      <w:r w:rsidR="0003317D">
        <w:t xml:space="preserve">protocol </w:t>
      </w:r>
      <w:r w:rsidRPr="005C3CE4">
        <w:t xml:space="preserve">to assess </w:t>
      </w:r>
      <w:r w:rsidR="004A61C6">
        <w:t xml:space="preserve">EP and </w:t>
      </w:r>
      <w:r w:rsidRPr="005C3CE4">
        <w:t xml:space="preserve">MF. Specifically, participants were instructed to record their </w:t>
      </w:r>
      <w:r w:rsidR="001A7E57" w:rsidRPr="005C3CE4">
        <w:t>EP</w:t>
      </w:r>
      <w:r w:rsidRPr="005C3CE4">
        <w:t xml:space="preserve"> time and level of MF right after playing </w:t>
      </w:r>
      <w:proofErr w:type="spellStart"/>
      <w:r w:rsidRPr="005C3CE4">
        <w:t>esport</w:t>
      </w:r>
      <w:proofErr w:type="spellEnd"/>
      <w:r w:rsidRPr="005C3CE4">
        <w:t xml:space="preserve"> (</w:t>
      </w:r>
      <w:proofErr w:type="spellStart"/>
      <w:r w:rsidRPr="005C3CE4">
        <w:t>esport</w:t>
      </w:r>
      <w:proofErr w:type="spellEnd"/>
      <w:r w:rsidRPr="005C3CE4">
        <w:t xml:space="preserve"> as a </w:t>
      </w:r>
      <w:r w:rsidR="00BA7923" w:rsidRPr="005C3CE4">
        <w:t>randomly</w:t>
      </w:r>
      <w:r w:rsidRPr="005C3CE4">
        <w:t xml:space="preserve"> occurring event for each participant). </w:t>
      </w:r>
      <w:r w:rsidR="002A5A6F" w:rsidRPr="005C3CE4">
        <w:t xml:space="preserve">This </w:t>
      </w:r>
      <w:r w:rsidRPr="005C3CE4">
        <w:t>method address</w:t>
      </w:r>
      <w:r w:rsidR="007C0D4C">
        <w:t>ed</w:t>
      </w:r>
      <w:r w:rsidRPr="005C3CE4">
        <w:t xml:space="preserve"> the disadvantage of the </w:t>
      </w:r>
      <w:r w:rsidR="005B573E">
        <w:t xml:space="preserve">uncontrolled </w:t>
      </w:r>
      <w:r w:rsidRPr="005C3CE4">
        <w:t xml:space="preserve">time gap between </w:t>
      </w:r>
      <w:r w:rsidR="001A7E57" w:rsidRPr="005C3CE4">
        <w:t>EP</w:t>
      </w:r>
      <w:r w:rsidRPr="005C3CE4">
        <w:t xml:space="preserve"> and MF assessment</w:t>
      </w:r>
      <w:r w:rsidR="009F0216">
        <w:t xml:space="preserve"> in previous studies</w:t>
      </w:r>
      <w:r w:rsidR="00276420" w:rsidRPr="005C3CE4">
        <w:t>. A</w:t>
      </w:r>
      <w:r w:rsidR="007F3E69" w:rsidRPr="005C3CE4">
        <w:t>s</w:t>
      </w:r>
      <w:r w:rsidR="002A5A6F" w:rsidRPr="005C3CE4">
        <w:t xml:space="preserve"> the research on the relationship between </w:t>
      </w:r>
      <w:proofErr w:type="spellStart"/>
      <w:r w:rsidR="002A5A6F" w:rsidRPr="005C3CE4">
        <w:t>esport</w:t>
      </w:r>
      <w:proofErr w:type="spellEnd"/>
      <w:r w:rsidR="002A5A6F" w:rsidRPr="005C3CE4">
        <w:t xml:space="preserve"> and MF is still in its infancy, it is </w:t>
      </w:r>
      <w:r w:rsidR="007F3E69" w:rsidRPr="005C3CE4">
        <w:t>important</w:t>
      </w:r>
      <w:r w:rsidR="002A5A6F" w:rsidRPr="005C3CE4">
        <w:t xml:space="preserve"> to examine </w:t>
      </w:r>
      <w:r w:rsidR="00AE511C">
        <w:t>the</w:t>
      </w:r>
      <w:r w:rsidR="002A5A6F" w:rsidRPr="005C3CE4">
        <w:t xml:space="preserve"> direct effect </w:t>
      </w:r>
      <w:r w:rsidR="00AE511C">
        <w:t xml:space="preserve">of EP </w:t>
      </w:r>
      <w:r w:rsidR="002A5A6F" w:rsidRPr="005C3CE4">
        <w:t>on MF</w:t>
      </w:r>
      <w:r w:rsidR="000274CE">
        <w:t>,</w:t>
      </w:r>
      <w:r w:rsidR="002A5A6F" w:rsidRPr="005C3CE4">
        <w:t xml:space="preserve"> rather than having a time lag between </w:t>
      </w:r>
      <w:r w:rsidR="001A7E57" w:rsidRPr="005C3CE4">
        <w:t>EP</w:t>
      </w:r>
      <w:r w:rsidR="002A5A6F" w:rsidRPr="005C3CE4">
        <w:t xml:space="preserve"> and MF assessment. This approach </w:t>
      </w:r>
      <w:r w:rsidRPr="005C3CE4">
        <w:t>also outperforms laboratory and retrospective assessments in terms of capturing naturalistic experience and minimizing memory recall biases (</w:t>
      </w:r>
      <w:proofErr w:type="spellStart"/>
      <w:r w:rsidRPr="005C3CE4">
        <w:t>Fahrenberg</w:t>
      </w:r>
      <w:proofErr w:type="spellEnd"/>
      <w:r w:rsidRPr="005C3CE4">
        <w:t xml:space="preserve"> et al., 2007; Stone &amp; Broderick, 2007). </w:t>
      </w:r>
    </w:p>
    <w:p w14:paraId="2A7AB847" w14:textId="6F33FCF1" w:rsidR="007C7128" w:rsidRPr="005C3CE4" w:rsidRDefault="00CC0969">
      <w:pPr>
        <w:pStyle w:val="BodyText"/>
      </w:pPr>
      <w:r w:rsidRPr="005C3CE4">
        <w:t xml:space="preserve">To evaluate the data generated by the event-contingent ambulatory assessment, we used the dynamic structural equation modeling (DSEM) framework, </w:t>
      </w:r>
      <w:r w:rsidR="00351170">
        <w:t xml:space="preserve">which </w:t>
      </w:r>
      <w:r w:rsidRPr="005C3CE4">
        <w:t>combines the benefits of time series analysis, multilevel modeling, and structural equation modeling (</w:t>
      </w:r>
      <w:proofErr w:type="spellStart"/>
      <w:r w:rsidRPr="005C3CE4">
        <w:t>Asparouhov</w:t>
      </w:r>
      <w:proofErr w:type="spellEnd"/>
      <w:r w:rsidRPr="005C3CE4">
        <w:t xml:space="preserve"> et al., 2018). DSEM </w:t>
      </w:r>
      <w:r w:rsidR="00B90CEB">
        <w:t>models</w:t>
      </w:r>
      <w:r w:rsidRPr="005C3CE4">
        <w:t xml:space="preserve"> data with intensive time </w:t>
      </w:r>
      <w:r w:rsidR="00112EAC" w:rsidRPr="005C3CE4">
        <w:t>poi</w:t>
      </w:r>
      <w:r w:rsidR="00112EAC">
        <w:t>n</w:t>
      </w:r>
      <w:r w:rsidR="00112EAC" w:rsidRPr="005C3CE4">
        <w:t>ts</w:t>
      </w:r>
      <w:r w:rsidRPr="005C3CE4">
        <w:t xml:space="preserve"> while allowing for cross-individual variation and path analysis of between-individual effects. This statistical paradigm divides the variation associated with each variable into within</w:t>
      </w:r>
      <w:r w:rsidR="00BA7923" w:rsidRPr="005C3CE4">
        <w:t>-</w:t>
      </w:r>
      <w:r w:rsidR="00E55F3A" w:rsidRPr="005C3CE4">
        <w:t>person</w:t>
      </w:r>
      <w:r w:rsidRPr="005C3CE4">
        <w:t xml:space="preserve"> and between</w:t>
      </w:r>
      <w:r w:rsidR="00BA7923" w:rsidRPr="005C3CE4">
        <w:t>-</w:t>
      </w:r>
      <w:r w:rsidR="00E55F3A" w:rsidRPr="005C3CE4">
        <w:t>person</w:t>
      </w:r>
      <w:r w:rsidRPr="005C3CE4">
        <w:t xml:space="preserve"> parts (</w:t>
      </w:r>
      <w:proofErr w:type="spellStart"/>
      <w:r w:rsidRPr="005C3CE4">
        <w:t>Asparouhov</w:t>
      </w:r>
      <w:proofErr w:type="spellEnd"/>
      <w:r w:rsidRPr="005C3CE4">
        <w:t xml:space="preserve"> et al., 2018). In the present context, at the within level, the mean values for </w:t>
      </w:r>
      <w:r w:rsidR="001A7E57" w:rsidRPr="005C3CE4">
        <w:t>EP</w:t>
      </w:r>
      <w:r w:rsidRPr="005C3CE4">
        <w:t xml:space="preserve"> and MF can be </w:t>
      </w:r>
      <w:r w:rsidRPr="005C3CE4">
        <w:lastRenderedPageBreak/>
        <w:t>estimated</w:t>
      </w:r>
      <w:r w:rsidR="000274CE">
        <w:t xml:space="preserve"> to </w:t>
      </w:r>
      <w:r w:rsidRPr="005C3CE4">
        <w:t xml:space="preserve">reflect </w:t>
      </w:r>
      <w:r w:rsidR="000F4B48">
        <w:t xml:space="preserve">the </w:t>
      </w:r>
      <w:r w:rsidR="00AA4B88" w:rsidRPr="005C3CE4">
        <w:t xml:space="preserve">typical </w:t>
      </w:r>
      <w:r w:rsidR="001A7E57" w:rsidRPr="005C3CE4">
        <w:t>EP</w:t>
      </w:r>
      <w:r w:rsidRPr="005C3CE4">
        <w:t xml:space="preserve"> and MF for each individual. The cross-lagged parameters can also be estimated to describe the bidirectional effects of </w:t>
      </w:r>
      <w:r w:rsidR="001A7E57" w:rsidRPr="005C3CE4">
        <w:t>EP</w:t>
      </w:r>
      <w:r w:rsidRPr="005C3CE4">
        <w:t xml:space="preserve"> and MF over time. This framework allows </w:t>
      </w:r>
      <w:r w:rsidR="004E61B5">
        <w:t xml:space="preserve">for </w:t>
      </w:r>
      <w:r w:rsidRPr="005C3CE4">
        <w:t>the assessment of</w:t>
      </w:r>
      <w:r w:rsidR="00550693">
        <w:t xml:space="preserve"> </w:t>
      </w:r>
      <w:r w:rsidRPr="005C3CE4">
        <w:t xml:space="preserve">lagged or autoregressive effects (also known as inertia, carry-over, or lingering effects) </w:t>
      </w:r>
      <w:r w:rsidR="009C5FD0">
        <w:t xml:space="preserve">for each variable </w:t>
      </w:r>
      <w:r w:rsidRPr="005C3CE4">
        <w:t xml:space="preserve">on itself. Examining this lagged effect is beneficial in that a positive autoregression coefficient would indicate a consistent pattern of </w:t>
      </w:r>
      <w:r w:rsidR="001A7E57" w:rsidRPr="005C3CE4">
        <w:t>EP</w:t>
      </w:r>
      <w:r w:rsidRPr="005C3CE4">
        <w:t xml:space="preserve"> and MF (previous </w:t>
      </w:r>
      <w:r w:rsidR="001A7E57" w:rsidRPr="005C3CE4">
        <w:t>EP</w:t>
      </w:r>
      <w:r w:rsidRPr="005C3CE4">
        <w:t xml:space="preserve"> and MF positively impact </w:t>
      </w:r>
      <w:r w:rsidR="00090D3A" w:rsidRPr="005C3CE4">
        <w:t>themselves</w:t>
      </w:r>
      <w:r w:rsidRPr="005C3CE4">
        <w:t xml:space="preserve"> at present). In contrast, a negative autoregression coefficient suggests a back-and-forth pattern of </w:t>
      </w:r>
      <w:r w:rsidR="001A7E57" w:rsidRPr="005C3CE4">
        <w:t>EP</w:t>
      </w:r>
      <w:r w:rsidRPr="005C3CE4">
        <w:t xml:space="preserve"> and MF (previous </w:t>
      </w:r>
      <w:r w:rsidR="001A7E57" w:rsidRPr="005C3CE4">
        <w:t>EP</w:t>
      </w:r>
      <w:r w:rsidRPr="005C3CE4">
        <w:t xml:space="preserve"> and MF negatively impact </w:t>
      </w:r>
      <w:r w:rsidR="00090D3A" w:rsidRPr="005C3CE4">
        <w:t>themselves</w:t>
      </w:r>
      <w:r w:rsidRPr="005C3CE4">
        <w:t xml:space="preserve"> at present). If the autoregressive coefficient is close to zero, then this demonstrates that </w:t>
      </w:r>
      <w:r w:rsidR="001A7E57" w:rsidRPr="005C3CE4">
        <w:t>EP</w:t>
      </w:r>
      <w:r w:rsidRPr="005C3CE4">
        <w:t xml:space="preserve"> and MF in the previous moment are not predictive of </w:t>
      </w:r>
      <w:r w:rsidR="00090D3A" w:rsidRPr="005C3CE4">
        <w:t>themselves</w:t>
      </w:r>
      <w:r w:rsidRPr="005C3CE4">
        <w:t xml:space="preserve"> for the current moment. At the between level, these within</w:t>
      </w:r>
      <w:r w:rsidR="00124C22">
        <w:t>-</w:t>
      </w:r>
      <w:r w:rsidRPr="005C3CE4">
        <w:t>level parameters (means, lagged</w:t>
      </w:r>
      <w:r w:rsidR="00F104CB">
        <w:t xml:space="preserve">, </w:t>
      </w:r>
      <w:r w:rsidRPr="005C3CE4">
        <w:t>and cross-l</w:t>
      </w:r>
      <w:r w:rsidR="00193B3D">
        <w:t>a</w:t>
      </w:r>
      <w:r w:rsidRPr="005C3CE4">
        <w:t xml:space="preserve">gged effects) are allowed to vary across individuals and </w:t>
      </w:r>
      <w:r w:rsidR="003C128E">
        <w:t xml:space="preserve">thus </w:t>
      </w:r>
      <w:r w:rsidRPr="005C3CE4">
        <w:t xml:space="preserve">can be correlated with each other. While correlating these within-person parameters is exploratory, it may offer further information into the interplay between </w:t>
      </w:r>
      <w:r w:rsidR="001A7E57" w:rsidRPr="005C3CE4">
        <w:t>EP</w:t>
      </w:r>
      <w:r w:rsidRPr="005C3CE4">
        <w:t xml:space="preserve"> and MF.</w:t>
      </w:r>
    </w:p>
    <w:p w14:paraId="323D79A5" w14:textId="737509EC" w:rsidR="00CB646D" w:rsidRPr="005C3CE4" w:rsidRDefault="00CC0969" w:rsidP="00447024">
      <w:pPr>
        <w:pStyle w:val="BodyText"/>
      </w:pPr>
      <w:r w:rsidRPr="005C3CE4">
        <w:t xml:space="preserve">The purpose of this </w:t>
      </w:r>
      <w:r w:rsidR="00A6128A" w:rsidRPr="005C3CE4">
        <w:t>study</w:t>
      </w:r>
      <w:r w:rsidR="00970154" w:rsidRPr="005C3CE4">
        <w:t xml:space="preserve"> </w:t>
      </w:r>
      <w:r w:rsidRPr="005C3CE4">
        <w:t xml:space="preserve">was to examine the reciprocal relationship between </w:t>
      </w:r>
      <w:r w:rsidR="001A7E57" w:rsidRPr="005C3CE4">
        <w:t>EP</w:t>
      </w:r>
      <w:r w:rsidRPr="005C3CE4">
        <w:t xml:space="preserve"> and MF among Chinese undergraduate students. Specifically, this study aimed to: (a) investigate the effect of </w:t>
      </w:r>
      <w:r w:rsidR="001A7E57" w:rsidRPr="005C3CE4">
        <w:t>EP</w:t>
      </w:r>
      <w:r w:rsidRPr="005C3CE4">
        <w:t xml:space="preserve"> on after-game MF and vice versa; (b) investigate the inertia of </w:t>
      </w:r>
      <w:r w:rsidR="001A7E57" w:rsidRPr="005C3CE4">
        <w:t>EP</w:t>
      </w:r>
      <w:r w:rsidRPr="005C3CE4">
        <w:t xml:space="preserve"> and MF; (c) </w:t>
      </w:r>
      <w:r w:rsidR="0022434D" w:rsidRPr="005C3CE4">
        <w:t>e</w:t>
      </w:r>
      <w:r w:rsidR="00060444" w:rsidRPr="005C3CE4">
        <w:t>xamine the relationship between the aforementioned effects</w:t>
      </w:r>
      <w:r w:rsidRPr="005C3CE4">
        <w:t xml:space="preserve"> across individuals; (d) </w:t>
      </w:r>
      <w:r w:rsidR="00D7553C" w:rsidRPr="005C3CE4">
        <w:t>examine</w:t>
      </w:r>
      <w:r w:rsidRPr="005C3CE4">
        <w:t xml:space="preserve"> whether </w:t>
      </w:r>
      <w:r w:rsidR="00022FF4" w:rsidRPr="005C3CE4">
        <w:t>background information</w:t>
      </w:r>
      <w:r w:rsidRPr="005C3CE4">
        <w:t xml:space="preserve"> </w:t>
      </w:r>
      <w:r w:rsidR="00CB2871">
        <w:t xml:space="preserve">(i.e. player characteristics) </w:t>
      </w:r>
      <w:r w:rsidRPr="005C3CE4">
        <w:t xml:space="preserve">could predict </w:t>
      </w:r>
      <w:r w:rsidR="00E6405B" w:rsidRPr="005C3CE4">
        <w:t>aforementioned effects</w:t>
      </w:r>
      <w:r w:rsidRPr="005C3CE4">
        <w:t>.</w:t>
      </w:r>
      <w:r w:rsidR="00AE659A">
        <w:t xml:space="preserve"> </w:t>
      </w:r>
      <w:r w:rsidR="00AE659A" w:rsidRPr="00DC306F">
        <w:t xml:space="preserve">Based on </w:t>
      </w:r>
      <w:r w:rsidR="006D3207" w:rsidRPr="00DC306F">
        <w:t xml:space="preserve">the findings of </w:t>
      </w:r>
      <w:r w:rsidR="00AE659A" w:rsidRPr="00DC306F">
        <w:t xml:space="preserve">previous literature, </w:t>
      </w:r>
      <w:r w:rsidR="00E71915" w:rsidRPr="00DC306F">
        <w:t xml:space="preserve">we </w:t>
      </w:r>
      <w:r w:rsidR="008479E1" w:rsidRPr="00DC306F">
        <w:t>hypothesized</w:t>
      </w:r>
      <w:r w:rsidR="000639A1" w:rsidRPr="00DC306F">
        <w:t xml:space="preserve"> that </w:t>
      </w:r>
      <w:r w:rsidR="00D51F9C" w:rsidRPr="00DC306F">
        <w:t xml:space="preserve">EP </w:t>
      </w:r>
      <w:r w:rsidR="00E2488D" w:rsidRPr="00DC306F">
        <w:t xml:space="preserve">would </w:t>
      </w:r>
      <w:r w:rsidR="00781B98" w:rsidRPr="00DC306F">
        <w:t xml:space="preserve">positively predict </w:t>
      </w:r>
      <w:r w:rsidR="00E0796C" w:rsidRPr="00DC306F">
        <w:t>after-game MF</w:t>
      </w:r>
      <w:r w:rsidR="00F104CB">
        <w:t>,</w:t>
      </w:r>
      <w:r w:rsidR="0061591F" w:rsidRPr="00DC306F">
        <w:t xml:space="preserve"> and </w:t>
      </w:r>
      <w:r w:rsidR="00F104CB">
        <w:t xml:space="preserve">that </w:t>
      </w:r>
      <w:r w:rsidR="00CB646D" w:rsidRPr="00DC306F">
        <w:t xml:space="preserve">MF </w:t>
      </w:r>
      <w:r w:rsidR="0061591F" w:rsidRPr="00DC306F">
        <w:t xml:space="preserve">would </w:t>
      </w:r>
      <w:r w:rsidR="00CB646D" w:rsidRPr="00DC306F">
        <w:t>negatively predict</w:t>
      </w:r>
      <w:r w:rsidR="000F465E" w:rsidRPr="00DC306F">
        <w:t xml:space="preserve"> </w:t>
      </w:r>
      <w:r w:rsidR="00784BA4" w:rsidRPr="00DC306F">
        <w:t xml:space="preserve">future </w:t>
      </w:r>
      <w:r w:rsidR="00F870BF" w:rsidRPr="00DC306F">
        <w:t>EP</w:t>
      </w:r>
      <w:r w:rsidR="00806517" w:rsidRPr="00DC306F">
        <w:t xml:space="preserve">. </w:t>
      </w:r>
      <w:r w:rsidR="00C95B79" w:rsidRPr="00DC306F">
        <w:t>No hypothes</w:t>
      </w:r>
      <w:r w:rsidR="00C00288" w:rsidRPr="00DC306F">
        <w:t>e</w:t>
      </w:r>
      <w:r w:rsidR="00C95B79" w:rsidRPr="00DC306F">
        <w:t xml:space="preserve">s </w:t>
      </w:r>
      <w:r w:rsidR="00DC306F" w:rsidRPr="00DC306F">
        <w:t>were</w:t>
      </w:r>
      <w:r w:rsidR="00C95B79" w:rsidRPr="00DC306F">
        <w:t xml:space="preserve"> made for </w:t>
      </w:r>
      <w:r w:rsidR="004E73F3" w:rsidRPr="00DC306F">
        <w:t>other effe</w:t>
      </w:r>
      <w:r w:rsidR="00731CF8" w:rsidRPr="00DC306F">
        <w:t>c</w:t>
      </w:r>
      <w:r w:rsidR="004E73F3" w:rsidRPr="00DC306F">
        <w:t>ts</w:t>
      </w:r>
      <w:r w:rsidR="00731CF8" w:rsidRPr="00DC306F">
        <w:t xml:space="preserve"> </w:t>
      </w:r>
      <w:r w:rsidR="00B32FD9" w:rsidRPr="00DC306F">
        <w:t xml:space="preserve">due to </w:t>
      </w:r>
      <w:r w:rsidR="00C00288" w:rsidRPr="00DC306F">
        <w:t xml:space="preserve">their </w:t>
      </w:r>
      <w:r w:rsidR="007F3B19" w:rsidRPr="00DC306F">
        <w:t>exploratory nature.</w:t>
      </w:r>
      <w:r w:rsidR="007F3B19">
        <w:t xml:space="preserve"> </w:t>
      </w:r>
      <w:r w:rsidR="00AC51E9">
        <w:t xml:space="preserve"> </w:t>
      </w:r>
      <w:r w:rsidR="004E73F3">
        <w:t xml:space="preserve"> </w:t>
      </w:r>
    </w:p>
    <w:p w14:paraId="292F1364" w14:textId="1BB18DA6" w:rsidR="007C7128" w:rsidRPr="00BE4023" w:rsidRDefault="00141E7D" w:rsidP="00BE4023">
      <w:pPr>
        <w:pStyle w:val="Heading1"/>
      </w:pPr>
      <w:bookmarkStart w:id="2" w:name="method"/>
      <w:bookmarkEnd w:id="0"/>
      <w:r>
        <w:lastRenderedPageBreak/>
        <w:t>Materials and methods</w:t>
      </w:r>
    </w:p>
    <w:p w14:paraId="0E07A8F1" w14:textId="77777777" w:rsidR="007C7128" w:rsidRPr="00BE4023" w:rsidRDefault="00CC0969" w:rsidP="00BE4023">
      <w:pPr>
        <w:pStyle w:val="Heading2"/>
      </w:pPr>
      <w:bookmarkStart w:id="3" w:name="participants"/>
      <w:r w:rsidRPr="00BE4023">
        <w:t>Participants</w:t>
      </w:r>
    </w:p>
    <w:p w14:paraId="445B3CD5" w14:textId="49DDCCD6" w:rsidR="003E7586" w:rsidRPr="005C3CE4" w:rsidRDefault="00CC0969" w:rsidP="006039B1">
      <w:pPr>
        <w:pStyle w:val="FirstParagraph"/>
      </w:pPr>
      <w:r w:rsidRPr="005C3CE4">
        <w:t xml:space="preserve">198 undergraduate college students from a public university in China were invited to participate in this study. </w:t>
      </w:r>
      <w:r w:rsidR="0002476A">
        <w:t>S</w:t>
      </w:r>
      <w:r w:rsidRPr="005C3CE4">
        <w:t xml:space="preserve">tudents completed a background survey to screen </w:t>
      </w:r>
      <w:r w:rsidR="0029115F">
        <w:t>for eligibility</w:t>
      </w:r>
      <w:r w:rsidRPr="005C3CE4">
        <w:t xml:space="preserve"> based on </w:t>
      </w:r>
      <w:r w:rsidR="005B25E7">
        <w:t xml:space="preserve">the following </w:t>
      </w:r>
      <w:r w:rsidRPr="005C3CE4">
        <w:t>criteria: (a) full-time undergraduate student; (b) aged between 1</w:t>
      </w:r>
      <w:r w:rsidR="0051167C">
        <w:t>8</w:t>
      </w:r>
      <w:r w:rsidRPr="005C3CE4">
        <w:t xml:space="preserve"> to 24 years old; (c) play only </w:t>
      </w:r>
      <w:proofErr w:type="spellStart"/>
      <w:r w:rsidRPr="005C3CE4">
        <w:t>esport</w:t>
      </w:r>
      <w:proofErr w:type="spellEnd"/>
      <w:r w:rsidR="00DB3D55">
        <w:t xml:space="preserve">, not other video games; (d) play </w:t>
      </w:r>
      <w:proofErr w:type="spellStart"/>
      <w:r w:rsidR="00DB3D55">
        <w:t>esport</w:t>
      </w:r>
      <w:proofErr w:type="spellEnd"/>
      <w:r w:rsidR="00DB3D55">
        <w:t xml:space="preserve"> </w:t>
      </w:r>
      <w:r w:rsidRPr="005C3CE4">
        <w:t xml:space="preserve">at least five times per week. 110 students were </w:t>
      </w:r>
      <w:r w:rsidR="00456902">
        <w:t>eligible</w:t>
      </w:r>
      <w:r w:rsidR="00E55F3A" w:rsidRPr="005C3CE4">
        <w:t xml:space="preserve"> </w:t>
      </w:r>
      <w:r w:rsidRPr="005C3CE4">
        <w:t xml:space="preserve">and participated in </w:t>
      </w:r>
      <w:r w:rsidR="00E55F3A" w:rsidRPr="005C3CE4">
        <w:t xml:space="preserve">the </w:t>
      </w:r>
      <w:r w:rsidR="00482E8A">
        <w:t xml:space="preserve">following longitudinal </w:t>
      </w:r>
      <w:r w:rsidRPr="005C3CE4">
        <w:t>study</w:t>
      </w:r>
      <w:r w:rsidR="00E55F3A" w:rsidRPr="005C3CE4">
        <w:t xml:space="preserve"> (see Figure 1)</w:t>
      </w:r>
      <w:r w:rsidRPr="005C3CE4">
        <w:t>.</w:t>
      </w:r>
      <w:r w:rsidR="009F128A" w:rsidRPr="005C3CE4">
        <w:t xml:space="preserve"> </w:t>
      </w:r>
    </w:p>
    <w:p w14:paraId="6457C9B5" w14:textId="30A97A6F" w:rsidR="006C0CFB" w:rsidRPr="005C3CE4" w:rsidRDefault="00AA7CDB" w:rsidP="000A6D67">
      <w:pPr>
        <w:spacing w:after="0" w:line="240" w:lineRule="auto"/>
      </w:pPr>
      <w:r>
        <w:rPr>
          <w:noProof/>
        </w:rPr>
        <w:drawing>
          <wp:inline distT="0" distB="0" distL="0" distR="0" wp14:anchorId="70CAAF84" wp14:editId="7067D8F5">
            <wp:extent cx="5972810" cy="3871595"/>
            <wp:effectExtent l="0" t="0" r="0" b="190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3871595"/>
                    </a:xfrm>
                    <a:prstGeom prst="rect">
                      <a:avLst/>
                    </a:prstGeom>
                  </pic:spPr>
                </pic:pic>
              </a:graphicData>
            </a:graphic>
          </wp:inline>
        </w:drawing>
      </w:r>
    </w:p>
    <w:p w14:paraId="718DEA7C" w14:textId="7E7E4B5C" w:rsidR="00BD7230" w:rsidRPr="005C3CE4" w:rsidRDefault="003E7586" w:rsidP="00875A1B">
      <w:pPr>
        <w:spacing w:after="0"/>
        <w:ind w:firstLine="720"/>
      </w:pPr>
      <w:r w:rsidRPr="005C3CE4">
        <w:t>Fig</w:t>
      </w:r>
      <w:r w:rsidR="00875A1B">
        <w:t>.</w:t>
      </w:r>
      <w:r w:rsidRPr="005C3CE4">
        <w:t xml:space="preserve"> 1. </w:t>
      </w:r>
      <w:r w:rsidR="00F93772" w:rsidRPr="005C3CE4">
        <w:t>T</w:t>
      </w:r>
      <w:r w:rsidR="00932EA4" w:rsidRPr="005C3CE4">
        <w:t>he screening process of participants</w:t>
      </w:r>
      <w:r w:rsidR="00854A6D" w:rsidRPr="005C3CE4">
        <w:t>.</w:t>
      </w:r>
    </w:p>
    <w:p w14:paraId="3C622428" w14:textId="77777777" w:rsidR="007C7128" w:rsidRPr="005C3CE4" w:rsidRDefault="00CC0969">
      <w:pPr>
        <w:pStyle w:val="Heading2"/>
      </w:pPr>
      <w:bookmarkStart w:id="4" w:name="measures"/>
      <w:bookmarkEnd w:id="3"/>
      <w:r w:rsidRPr="005C3CE4">
        <w:t>Measures</w:t>
      </w:r>
    </w:p>
    <w:p w14:paraId="0E72BD7A" w14:textId="531CB88A" w:rsidR="002966BC" w:rsidRPr="002966BC" w:rsidRDefault="00CB2871" w:rsidP="002966BC">
      <w:pPr>
        <w:pStyle w:val="Heading3"/>
      </w:pPr>
      <w:r>
        <w:t xml:space="preserve">Background </w:t>
      </w:r>
      <w:r w:rsidR="003D0D5A">
        <w:t>s</w:t>
      </w:r>
      <w:r>
        <w:t>urvey</w:t>
      </w:r>
    </w:p>
    <w:p w14:paraId="0B8895F2" w14:textId="77777777" w:rsidR="002966BC" w:rsidRPr="002966BC" w:rsidRDefault="002966BC" w:rsidP="002966BC"/>
    <w:p w14:paraId="1C11EEB2" w14:textId="0AA4E11F" w:rsidR="007C7128" w:rsidRPr="005C3CE4" w:rsidRDefault="00CC0969" w:rsidP="002966BC">
      <w:pPr>
        <w:pStyle w:val="FirstParagraph"/>
        <w:ind w:firstLine="720"/>
      </w:pPr>
      <w:r w:rsidRPr="005C3CE4">
        <w:lastRenderedPageBreak/>
        <w:t xml:space="preserve">Background </w:t>
      </w:r>
      <w:r w:rsidR="00CB2871">
        <w:t xml:space="preserve">and demographic </w:t>
      </w:r>
      <w:r w:rsidRPr="005C3CE4">
        <w:t xml:space="preserve">information </w:t>
      </w:r>
      <w:r w:rsidR="00D35117">
        <w:t>were</w:t>
      </w:r>
      <w:r w:rsidR="00D35117" w:rsidRPr="005C3CE4">
        <w:t xml:space="preserve"> </w:t>
      </w:r>
      <w:r w:rsidRPr="005C3CE4">
        <w:t>collected using a</w:t>
      </w:r>
      <w:r w:rsidR="00CB2871">
        <w:t>n electronic survey</w:t>
      </w:r>
      <w:r w:rsidRPr="005C3CE4">
        <w:t xml:space="preserve">. The </w:t>
      </w:r>
      <w:r w:rsidR="00CB2871">
        <w:t xml:space="preserve">survey included </w:t>
      </w:r>
      <w:r w:rsidR="00D35117">
        <w:t>questions</w:t>
      </w:r>
      <w:r w:rsidR="00D35117" w:rsidRPr="005C3CE4">
        <w:t xml:space="preserve"> </w:t>
      </w:r>
      <w:r w:rsidR="00D35117">
        <w:t xml:space="preserve">to determine </w:t>
      </w:r>
      <w:r w:rsidR="00CB2871">
        <w:t>eligibility (</w:t>
      </w:r>
      <w:r w:rsidR="002C2CDC">
        <w:t>i.e.,</w:t>
      </w:r>
      <w:r w:rsidR="00D35117">
        <w:t xml:space="preserve"> </w:t>
      </w:r>
      <w:r w:rsidR="00CB2871">
        <w:t xml:space="preserve">age, </w:t>
      </w:r>
      <w:proofErr w:type="spellStart"/>
      <w:r w:rsidRPr="005C3CE4">
        <w:t>esport</w:t>
      </w:r>
      <w:proofErr w:type="spellEnd"/>
      <w:r w:rsidRPr="005C3CE4">
        <w:t xml:space="preserve"> genres</w:t>
      </w:r>
      <w:r w:rsidR="00A66636">
        <w:t xml:space="preserve"> played</w:t>
      </w:r>
      <w:r w:rsidRPr="005C3CE4">
        <w:t xml:space="preserve">, </w:t>
      </w:r>
      <w:r w:rsidR="00CB2871">
        <w:t xml:space="preserve">and </w:t>
      </w:r>
      <w:r w:rsidR="001A7E57" w:rsidRPr="005C3CE4">
        <w:t>EP</w:t>
      </w:r>
      <w:r w:rsidRPr="005C3CE4">
        <w:t xml:space="preserve"> frequency</w:t>
      </w:r>
      <w:r w:rsidR="00CB2871">
        <w:t xml:space="preserve">) </w:t>
      </w:r>
      <w:r w:rsidR="00D35117">
        <w:t>as well as</w:t>
      </w:r>
      <w:r w:rsidR="00CB2871">
        <w:t xml:space="preserve"> background information used to describe the sample</w:t>
      </w:r>
      <w:r w:rsidR="00D35117">
        <w:t xml:space="preserve"> </w:t>
      </w:r>
      <w:r w:rsidR="00CB2871">
        <w:t>and to explore the influence of personal characteristics</w:t>
      </w:r>
      <w:r w:rsidR="00D35117">
        <w:t xml:space="preserve"> on observed effects</w:t>
      </w:r>
      <w:r w:rsidR="00F104CB">
        <w:t>. Demographic information included</w:t>
      </w:r>
      <w:r w:rsidRPr="005C3CE4">
        <w:t xml:space="preserve"> college year, </w:t>
      </w:r>
      <w:r w:rsidR="0059670A">
        <w:t>gender</w:t>
      </w:r>
      <w:r w:rsidRPr="005C3CE4">
        <w:t xml:space="preserve">, </w:t>
      </w:r>
      <w:r w:rsidR="004F5702">
        <w:t xml:space="preserve">number of </w:t>
      </w:r>
      <w:r w:rsidRPr="005C3CE4">
        <w:t>years play</w:t>
      </w:r>
      <w:r w:rsidR="004F5702">
        <w:t>ing</w:t>
      </w:r>
      <w:r w:rsidRPr="005C3CE4">
        <w:t xml:space="preserve"> </w:t>
      </w:r>
      <w:proofErr w:type="spellStart"/>
      <w:r w:rsidRPr="005C3CE4">
        <w:t>esport</w:t>
      </w:r>
      <w:proofErr w:type="spellEnd"/>
      <w:r w:rsidRPr="005C3CE4">
        <w:t xml:space="preserve">, and playing preference (playing with friends in person; or playing with friends online). Participants rated the two playing preference questions on a four-point </w:t>
      </w:r>
      <w:r w:rsidR="00A84881" w:rsidRPr="005C3CE4">
        <w:t>Likert</w:t>
      </w:r>
      <w:r w:rsidRPr="005C3CE4">
        <w:t xml:space="preserve"> scale</w:t>
      </w:r>
      <w:r w:rsidR="003B4D90" w:rsidRPr="005C3CE4">
        <w:t xml:space="preserve"> </w:t>
      </w:r>
      <w:r w:rsidRPr="005C3CE4">
        <w:t>(</w:t>
      </w:r>
      <w:r w:rsidR="003B4D90" w:rsidRPr="005C3CE4">
        <w:t xml:space="preserve">1 = </w:t>
      </w:r>
      <w:r w:rsidRPr="005C3CE4">
        <w:t xml:space="preserve">never, </w:t>
      </w:r>
      <w:r w:rsidR="00FF33A9">
        <w:t xml:space="preserve">2= </w:t>
      </w:r>
      <w:r w:rsidRPr="005C3CE4">
        <w:t xml:space="preserve">sometimes, </w:t>
      </w:r>
      <w:r w:rsidR="00FF33A9">
        <w:t>3</w:t>
      </w:r>
      <w:r w:rsidR="00BB33E7">
        <w:t xml:space="preserve"> </w:t>
      </w:r>
      <w:r w:rsidR="00FF33A9">
        <w:t xml:space="preserve">= </w:t>
      </w:r>
      <w:r w:rsidRPr="005C3CE4">
        <w:t xml:space="preserve">most of the time, and </w:t>
      </w:r>
      <w:r w:rsidR="003B4D90" w:rsidRPr="005C3CE4">
        <w:t xml:space="preserve">4 = </w:t>
      </w:r>
      <w:r w:rsidRPr="005C3CE4">
        <w:t>always).</w:t>
      </w:r>
    </w:p>
    <w:p w14:paraId="3600FBBC" w14:textId="714EACF0" w:rsidR="002966BC" w:rsidRDefault="006039B1" w:rsidP="002966BC">
      <w:pPr>
        <w:pStyle w:val="Heading3"/>
      </w:pPr>
      <w:proofErr w:type="spellStart"/>
      <w:r w:rsidRPr="005C3CE4">
        <w:t>Esport</w:t>
      </w:r>
      <w:proofErr w:type="spellEnd"/>
      <w:r w:rsidRPr="005C3CE4">
        <w:t xml:space="preserve"> participation</w:t>
      </w:r>
    </w:p>
    <w:p w14:paraId="76FEE62C" w14:textId="6FF68528" w:rsidR="007C7128" w:rsidRPr="005C3CE4" w:rsidRDefault="00BF4CBB">
      <w:pPr>
        <w:pStyle w:val="BodyText"/>
      </w:pPr>
      <w:r>
        <w:t>S</w:t>
      </w:r>
      <w:r w:rsidR="00CC0969" w:rsidRPr="005C3CE4">
        <w:t xml:space="preserve">tudents </w:t>
      </w:r>
      <w:r>
        <w:t xml:space="preserve">were asked </w:t>
      </w:r>
      <w:r w:rsidR="00CC0969" w:rsidRPr="005C3CE4">
        <w:t xml:space="preserve">to </w:t>
      </w:r>
      <w:r w:rsidR="00A66636">
        <w:t>report</w:t>
      </w:r>
      <w:r w:rsidR="00A66636" w:rsidRPr="005C3CE4">
        <w:t xml:space="preserve"> </w:t>
      </w:r>
      <w:r w:rsidR="00CC0969" w:rsidRPr="005C3CE4">
        <w:t xml:space="preserve">their </w:t>
      </w:r>
      <w:r w:rsidR="002C4E58">
        <w:t>EP</w:t>
      </w:r>
      <w:r w:rsidR="00AA4B88" w:rsidRPr="005C3CE4">
        <w:t xml:space="preserve"> </w:t>
      </w:r>
      <w:r w:rsidR="00CC0969" w:rsidRPr="005C3CE4">
        <w:t>time</w:t>
      </w:r>
      <w:r w:rsidR="00B978BD">
        <w:t xml:space="preserve"> </w:t>
      </w:r>
      <w:r w:rsidR="00B978BD" w:rsidRPr="000B5331">
        <w:t>(in hours</w:t>
      </w:r>
      <w:r w:rsidR="00037918" w:rsidRPr="000B5331">
        <w:t xml:space="preserve">; </w:t>
      </w:r>
      <w:r w:rsidR="0028777D" w:rsidRPr="000B5331">
        <w:t xml:space="preserve">reported </w:t>
      </w:r>
      <w:r w:rsidR="00037918" w:rsidRPr="000B5331">
        <w:t>to half an hour</w:t>
      </w:r>
      <w:r w:rsidR="00DB3E4D" w:rsidRPr="000B5331">
        <w:t>;</w:t>
      </w:r>
      <w:r w:rsidR="00AC59E2" w:rsidRPr="000B5331">
        <w:t xml:space="preserve"> etc., 0.5, 1</w:t>
      </w:r>
      <w:r w:rsidR="006406A7" w:rsidRPr="000B5331">
        <w:t>.0</w:t>
      </w:r>
      <w:r w:rsidR="00AC59E2" w:rsidRPr="000B5331">
        <w:t>, 1.5, 2</w:t>
      </w:r>
      <w:r w:rsidR="006406A7" w:rsidRPr="000B5331">
        <w:t>.0</w:t>
      </w:r>
      <w:r w:rsidR="00B978BD" w:rsidRPr="000B5331">
        <w:t>)</w:t>
      </w:r>
      <w:r w:rsidR="00CC0969" w:rsidRPr="005C3CE4">
        <w:t xml:space="preserve"> </w:t>
      </w:r>
      <w:r w:rsidR="00F10E08">
        <w:t>immediately</w:t>
      </w:r>
      <w:r w:rsidR="00CC0969" w:rsidRPr="005C3CE4">
        <w:t xml:space="preserve"> </w:t>
      </w:r>
      <w:r w:rsidR="00B743B6">
        <w:t xml:space="preserve">after completing each </w:t>
      </w:r>
      <w:proofErr w:type="spellStart"/>
      <w:r w:rsidR="00B743B6">
        <w:t>esport</w:t>
      </w:r>
      <w:proofErr w:type="spellEnd"/>
      <w:r w:rsidR="00B743B6">
        <w:t xml:space="preserve"> session </w:t>
      </w:r>
      <w:r w:rsidR="00CC0969" w:rsidRPr="005C3CE4">
        <w:t xml:space="preserve">for 15 </w:t>
      </w:r>
      <w:r w:rsidR="00570B44">
        <w:t xml:space="preserve">consecutive </w:t>
      </w:r>
      <w:r w:rsidR="00CC0969" w:rsidRPr="005C3CE4">
        <w:t>days.</w:t>
      </w:r>
    </w:p>
    <w:p w14:paraId="1AEE04C7" w14:textId="22B431CD" w:rsidR="002966BC" w:rsidRDefault="00FE456C" w:rsidP="002966BC">
      <w:pPr>
        <w:pStyle w:val="Heading3"/>
      </w:pPr>
      <w:r w:rsidRPr="005C3CE4">
        <w:t>M</w:t>
      </w:r>
      <w:r w:rsidR="00CC0969" w:rsidRPr="005C3CE4">
        <w:t>ental fatigue</w:t>
      </w:r>
    </w:p>
    <w:p w14:paraId="2BD11913" w14:textId="1047E2BE" w:rsidR="007C7128" w:rsidRPr="005C3CE4" w:rsidRDefault="00CC0969" w:rsidP="00C157AC">
      <w:pPr>
        <w:pStyle w:val="BodyText"/>
        <w:ind w:firstLine="720"/>
      </w:pPr>
      <w:r w:rsidRPr="005C3CE4">
        <w:t>The Rating of Fatigue scale (</w:t>
      </w:r>
      <w:proofErr w:type="spellStart"/>
      <w:r w:rsidRPr="005C3CE4">
        <w:t>Micklewright</w:t>
      </w:r>
      <w:proofErr w:type="spellEnd"/>
      <w:r w:rsidRPr="005C3CE4">
        <w:t xml:space="preserve"> et al., 2017) w</w:t>
      </w:r>
      <w:r w:rsidR="00174333">
        <w:t>as</w:t>
      </w:r>
      <w:r w:rsidRPr="005C3CE4">
        <w:t xml:space="preserve"> used to assess MF. Immediately after each </w:t>
      </w:r>
      <w:proofErr w:type="spellStart"/>
      <w:r w:rsidRPr="005C3CE4">
        <w:t>esport</w:t>
      </w:r>
      <w:proofErr w:type="spellEnd"/>
      <w:r w:rsidRPr="005C3CE4">
        <w:t xml:space="preserve"> session, participants rated their current state of fatigue by responding to the question “how mentally fatigued do you feel right now?” from “0” (not fatigued at all) to “10” (total fatigue &amp; exhaustion). </w:t>
      </w:r>
      <w:proofErr w:type="spellStart"/>
      <w:r w:rsidR="00AA4B88" w:rsidRPr="005C3CE4">
        <w:t>Micklewright</w:t>
      </w:r>
      <w:proofErr w:type="spellEnd"/>
      <w:r w:rsidR="00AA4B88" w:rsidRPr="005C3CE4">
        <w:t xml:space="preserve"> et al. (2017) demonstrated that the Rating of Fatigue Scale has high face validity, as well as strong convergent validity and divergent validity with various physiological and psychophysical measures of fatigue. </w:t>
      </w:r>
      <w:r w:rsidRPr="005C3CE4">
        <w:t xml:space="preserve">Single item scales have been used previously to measure MF level among </w:t>
      </w:r>
      <w:proofErr w:type="spellStart"/>
      <w:r w:rsidRPr="005C3CE4">
        <w:t>esport</w:t>
      </w:r>
      <w:proofErr w:type="spellEnd"/>
      <w:r w:rsidRPr="005C3CE4">
        <w:t xml:space="preserve"> college students (Andre et al., 2020; Rhoden et al., 2021). Th</w:t>
      </w:r>
      <w:r w:rsidR="00AA4B88" w:rsidRPr="005C3CE4">
        <w:t xml:space="preserve">e Rating of Fatigue </w:t>
      </w:r>
      <w:r w:rsidRPr="005C3CE4">
        <w:t>scale was translated into Chinese</w:t>
      </w:r>
      <w:r w:rsidR="000829D5">
        <w:t xml:space="preserve"> following </w:t>
      </w:r>
      <w:r w:rsidRPr="005C3CE4">
        <w:t xml:space="preserve">recommendations </w:t>
      </w:r>
      <w:r w:rsidR="00AA4B88" w:rsidRPr="005C3CE4">
        <w:t xml:space="preserve">for cross-cultural adaptation of self-report measures </w:t>
      </w:r>
      <w:r w:rsidRPr="005C3CE4">
        <w:t xml:space="preserve">(Beaton et al., 2000). Due to </w:t>
      </w:r>
      <w:r w:rsidR="00B113B1">
        <w:t xml:space="preserve">frequent </w:t>
      </w:r>
      <w:r w:rsidRPr="005C3CE4">
        <w:t xml:space="preserve">MF assessment, employing a single item </w:t>
      </w:r>
      <w:r w:rsidR="00242DAD">
        <w:t>for measurement</w:t>
      </w:r>
      <w:r w:rsidRPr="005C3CE4">
        <w:t xml:space="preserve"> </w:t>
      </w:r>
      <w:r w:rsidR="00F104CB">
        <w:t>was</w:t>
      </w:r>
      <w:r w:rsidR="00F104CB" w:rsidRPr="005C3CE4">
        <w:t xml:space="preserve"> </w:t>
      </w:r>
      <w:r w:rsidRPr="005C3CE4">
        <w:t xml:space="preserve">advantageous </w:t>
      </w:r>
      <w:r w:rsidR="00F54E7E">
        <w:t xml:space="preserve">so that </w:t>
      </w:r>
      <w:r w:rsidRPr="005C3CE4">
        <w:t xml:space="preserve">participants </w:t>
      </w:r>
      <w:r w:rsidR="008811FC">
        <w:t xml:space="preserve">were not </w:t>
      </w:r>
      <w:r w:rsidRPr="005C3CE4">
        <w:t xml:space="preserve">overwhelmed by taking the same measure for an extended period of time. </w:t>
      </w:r>
    </w:p>
    <w:p w14:paraId="0FBBC7BF" w14:textId="77777777" w:rsidR="007C7128" w:rsidRPr="005C3CE4" w:rsidRDefault="00CC0969">
      <w:pPr>
        <w:pStyle w:val="Heading2"/>
      </w:pPr>
      <w:bookmarkStart w:id="5" w:name="procedures"/>
      <w:bookmarkEnd w:id="4"/>
      <w:r w:rsidRPr="005C3CE4">
        <w:lastRenderedPageBreak/>
        <w:t>Procedures</w:t>
      </w:r>
    </w:p>
    <w:p w14:paraId="31EA95B2" w14:textId="29F995F0" w:rsidR="007C7128" w:rsidRPr="005C3CE4" w:rsidRDefault="00CC0969">
      <w:pPr>
        <w:pStyle w:val="FirstParagraph"/>
      </w:pPr>
      <w:r w:rsidRPr="005C3CE4">
        <w:t xml:space="preserve">The </w:t>
      </w:r>
      <w:r w:rsidR="003A0D5F">
        <w:t xml:space="preserve">first author received the </w:t>
      </w:r>
      <w:r w:rsidRPr="005C3CE4">
        <w:t>institutional review board (IRB)</w:t>
      </w:r>
      <w:r w:rsidR="00381318">
        <w:t xml:space="preserve"> approval</w:t>
      </w:r>
      <w:r w:rsidR="00A66636">
        <w:t xml:space="preserve"> for the study</w:t>
      </w:r>
      <w:r w:rsidRPr="005C3CE4">
        <w:t xml:space="preserve">. </w:t>
      </w:r>
      <w:r w:rsidR="00440160">
        <w:t xml:space="preserve">A </w:t>
      </w:r>
      <w:r w:rsidR="002A5A6F" w:rsidRPr="005C3CE4">
        <w:t>collaborating</w:t>
      </w:r>
      <w:r w:rsidR="003C629E">
        <w:t xml:space="preserve"> </w:t>
      </w:r>
      <w:r w:rsidRPr="005C3CE4">
        <w:t>college professor in China disseminate</w:t>
      </w:r>
      <w:r w:rsidR="007318DE" w:rsidRPr="005C3CE4">
        <w:t xml:space="preserve">d </w:t>
      </w:r>
      <w:r w:rsidR="00517066">
        <w:t>study</w:t>
      </w:r>
      <w:r w:rsidR="00517066" w:rsidRPr="005C3CE4">
        <w:t xml:space="preserve"> </w:t>
      </w:r>
      <w:r w:rsidRPr="005C3CE4">
        <w:t xml:space="preserve">questionnaires to students </w:t>
      </w:r>
      <w:r w:rsidR="002A5A6F" w:rsidRPr="005C3CE4">
        <w:t>by inviting</w:t>
      </w:r>
      <w:r w:rsidRPr="005C3CE4">
        <w:t xml:space="preserve"> </w:t>
      </w:r>
      <w:r w:rsidR="00517066">
        <w:t>them</w:t>
      </w:r>
      <w:r w:rsidRPr="005C3CE4">
        <w:t xml:space="preserve"> and the primary researcher to a group chat on </w:t>
      </w:r>
      <w:proofErr w:type="spellStart"/>
      <w:r w:rsidRPr="005C3CE4">
        <w:t>Wechat</w:t>
      </w:r>
      <w:proofErr w:type="spellEnd"/>
      <w:r w:rsidRPr="005C3CE4">
        <w:t>.</w:t>
      </w:r>
      <w:r w:rsidR="003C629E">
        <w:t xml:space="preserve"> </w:t>
      </w:r>
    </w:p>
    <w:p w14:paraId="0F7DA70F" w14:textId="66911052" w:rsidR="007C7128" w:rsidRPr="005C3CE4" w:rsidRDefault="00CC0969">
      <w:pPr>
        <w:pStyle w:val="BodyText"/>
      </w:pPr>
      <w:r w:rsidRPr="005C3CE4">
        <w:t xml:space="preserve">The primary researcher first sent </w:t>
      </w:r>
      <w:r w:rsidR="002A5A6F" w:rsidRPr="005C3CE4">
        <w:t xml:space="preserve">an </w:t>
      </w:r>
      <w:r w:rsidRPr="005C3CE4">
        <w:t>implied consent form and demographic questionnaire (created using Wen Juan Xing, an online questionnaire management software) to the group chat. Students were asked to fill out these questionnaires</w:t>
      </w:r>
      <w:r w:rsidR="002A5A6F" w:rsidRPr="005C3CE4">
        <w:t xml:space="preserve">, </w:t>
      </w:r>
      <w:r w:rsidR="00942BB3">
        <w:t xml:space="preserve">with </w:t>
      </w:r>
      <w:r w:rsidR="00654332">
        <w:t>reminders</w:t>
      </w:r>
      <w:r w:rsidR="00942BB3">
        <w:t xml:space="preserve"> </w:t>
      </w:r>
      <w:r w:rsidRPr="005C3CE4">
        <w:t xml:space="preserve">sent to the group after </w:t>
      </w:r>
      <w:r w:rsidR="005861B5">
        <w:t>three</w:t>
      </w:r>
      <w:r w:rsidRPr="005C3CE4">
        <w:t xml:space="preserve"> and </w:t>
      </w:r>
      <w:r w:rsidR="005861B5">
        <w:t>five</w:t>
      </w:r>
      <w:r w:rsidRPr="005C3CE4">
        <w:t xml:space="preserve"> days. After </w:t>
      </w:r>
      <w:r w:rsidR="002B6AB5">
        <w:t>seven</w:t>
      </w:r>
      <w:r w:rsidRPr="005C3CE4">
        <w:t xml:space="preserve"> days, any student who did not complete the questionnaires were presumed to be unwilling to participate and were removed from the group chat (students also had the option to remove themselves from the group chat prior to this if they did not wish to participate</w:t>
      </w:r>
      <w:r w:rsidR="00E55F3A" w:rsidRPr="005C3CE4">
        <w:t>, although none did so</w:t>
      </w:r>
      <w:r w:rsidRPr="005C3CE4">
        <w:t xml:space="preserve">). </w:t>
      </w:r>
      <w:r w:rsidR="00DE1641">
        <w:t>T</w:t>
      </w:r>
      <w:r w:rsidRPr="005C3CE4">
        <w:t xml:space="preserve">he primary researcher assessed the </w:t>
      </w:r>
      <w:r w:rsidR="002C4A54">
        <w:t xml:space="preserve">participant </w:t>
      </w:r>
      <w:r w:rsidRPr="005C3CE4">
        <w:t xml:space="preserve">eligibility and </w:t>
      </w:r>
      <w:r w:rsidR="00260FA6">
        <w:t>privately</w:t>
      </w:r>
      <w:r w:rsidR="00A73742">
        <w:t xml:space="preserve"> </w:t>
      </w:r>
      <w:r w:rsidR="00A66636">
        <w:t xml:space="preserve">messaged </w:t>
      </w:r>
      <w:r w:rsidRPr="005C3CE4">
        <w:t xml:space="preserve">those who did not meet the inclusion criteria </w:t>
      </w:r>
      <w:r w:rsidR="00E55F3A" w:rsidRPr="005C3CE4">
        <w:t>(</w:t>
      </w:r>
      <w:r w:rsidR="00E55F3A" w:rsidRPr="00A37372">
        <w:rPr>
          <w:i/>
          <w:iCs/>
        </w:rPr>
        <w:t xml:space="preserve">n </w:t>
      </w:r>
      <w:r w:rsidR="00E55F3A" w:rsidRPr="005C3CE4">
        <w:t xml:space="preserve">= 85) </w:t>
      </w:r>
      <w:r w:rsidR="007273D3">
        <w:t xml:space="preserve">to inform them </w:t>
      </w:r>
      <w:r w:rsidRPr="005C3CE4">
        <w:t>and then removed them from the group chat.</w:t>
      </w:r>
      <w:r w:rsidR="00E55F3A" w:rsidRPr="005C3CE4">
        <w:t xml:space="preserve"> </w:t>
      </w:r>
    </w:p>
    <w:p w14:paraId="627E924F" w14:textId="64A7CBEF" w:rsidR="007C7128" w:rsidRPr="005C3CE4" w:rsidRDefault="00CC0969">
      <w:pPr>
        <w:pStyle w:val="BodyText"/>
      </w:pPr>
      <w:r w:rsidRPr="005C3CE4">
        <w:t xml:space="preserve">Next, the primary researcher sent the online link for </w:t>
      </w:r>
      <w:r w:rsidR="0021646C">
        <w:t xml:space="preserve">EP </w:t>
      </w:r>
      <w:r w:rsidRPr="005C3CE4">
        <w:t xml:space="preserve">and MF questions to the group chat. Students were asked to fill out this questionnaire every time they finished playing </w:t>
      </w:r>
      <w:proofErr w:type="spellStart"/>
      <w:r w:rsidRPr="005C3CE4">
        <w:t>esport</w:t>
      </w:r>
      <w:proofErr w:type="spellEnd"/>
      <w:r w:rsidRPr="005C3CE4">
        <w:t xml:space="preserve"> for 15 consecutive days. </w:t>
      </w:r>
      <w:r w:rsidR="006C5F14" w:rsidRPr="006C5F14">
        <w:t>To ensure a high response rate, the principal investigator sent a group chat message each day at around 9 a.m. reminding participants to complete the questionnaire.</w:t>
      </w:r>
      <w:r w:rsidR="006C5F14">
        <w:t xml:space="preserve"> </w:t>
      </w:r>
      <w:r w:rsidR="00180FBB" w:rsidRPr="00180FBB">
        <w:t>To enable tracking of</w:t>
      </w:r>
      <w:r w:rsidR="008646CB">
        <w:t xml:space="preserve"> </w:t>
      </w:r>
      <w:r w:rsidR="00180FBB" w:rsidRPr="00180FBB">
        <w:t>individual data, participants entered their student ID number each time they completed the questionnaire</w:t>
      </w:r>
      <w:r w:rsidR="00DD524C">
        <w:t>,</w:t>
      </w:r>
      <w:r w:rsidR="002C02EE">
        <w:t xml:space="preserve"> with c</w:t>
      </w:r>
      <w:r w:rsidRPr="005C3CE4">
        <w:t>omplet</w:t>
      </w:r>
      <w:r w:rsidR="002E78BF">
        <w:t>ion</w:t>
      </w:r>
      <w:r w:rsidRPr="005C3CE4">
        <w:t xml:space="preserve"> </w:t>
      </w:r>
      <w:r w:rsidR="002C02EE">
        <w:t xml:space="preserve">time </w:t>
      </w:r>
      <w:r w:rsidR="00DD524C">
        <w:t>taking approximately</w:t>
      </w:r>
      <w:r w:rsidRPr="005C3CE4">
        <w:t xml:space="preserve"> </w:t>
      </w:r>
      <w:r w:rsidR="004D2FDA">
        <w:t>one</w:t>
      </w:r>
      <w:r w:rsidRPr="005C3CE4">
        <w:t xml:space="preserve"> minute.</w:t>
      </w:r>
      <w:r w:rsidR="00BD5ED7">
        <w:t xml:space="preserve"> Completed </w:t>
      </w:r>
      <w:r w:rsidRPr="005C3CE4">
        <w:t xml:space="preserve">questionnaires were automatically stored on Wen Juan Xing and were only accessible to the primary researcher. </w:t>
      </w:r>
      <w:r w:rsidR="00BD731D">
        <w:t xml:space="preserve">The primary researcher assigned </w:t>
      </w:r>
      <w:r w:rsidR="0071169A">
        <w:t xml:space="preserve">each </w:t>
      </w:r>
      <w:r w:rsidR="00BD731D">
        <w:t xml:space="preserve">participant a non-identifying identification number upon data download </w:t>
      </w:r>
      <w:r w:rsidRPr="005C3CE4">
        <w:t xml:space="preserve">and the </w:t>
      </w:r>
      <w:r w:rsidR="0059626C">
        <w:t xml:space="preserve">original </w:t>
      </w:r>
      <w:r w:rsidRPr="005C3CE4">
        <w:t>ID number</w:t>
      </w:r>
      <w:r w:rsidR="00323887">
        <w:t xml:space="preserve"> was</w:t>
      </w:r>
      <w:r w:rsidRPr="005C3CE4">
        <w:t xml:space="preserve"> removed.</w:t>
      </w:r>
    </w:p>
    <w:p w14:paraId="2CBFD2D1" w14:textId="77777777" w:rsidR="007C7128" w:rsidRPr="005C3CE4" w:rsidRDefault="00CC0969">
      <w:pPr>
        <w:pStyle w:val="Heading2"/>
      </w:pPr>
      <w:bookmarkStart w:id="6" w:name="statistical-analysis"/>
      <w:bookmarkEnd w:id="5"/>
      <w:r w:rsidRPr="005C3CE4">
        <w:lastRenderedPageBreak/>
        <w:t>Statistical analysis</w:t>
      </w:r>
    </w:p>
    <w:p w14:paraId="560767E7" w14:textId="213BE04E" w:rsidR="007C7128" w:rsidRPr="005C3CE4" w:rsidRDefault="00CC0969">
      <w:pPr>
        <w:pStyle w:val="FirstParagraph"/>
      </w:pPr>
      <w:r w:rsidRPr="005C3CE4">
        <w:t xml:space="preserve">R (R Core Team, 2021) was used for data preparation and </w:t>
      </w:r>
      <w:proofErr w:type="spellStart"/>
      <w:r w:rsidRPr="005C3CE4">
        <w:t>Mplus</w:t>
      </w:r>
      <w:proofErr w:type="spellEnd"/>
      <w:r w:rsidRPr="005C3CE4">
        <w:t xml:space="preserve"> (</w:t>
      </w:r>
      <w:proofErr w:type="spellStart"/>
      <w:r w:rsidRPr="005C3CE4">
        <w:t>Muthen</w:t>
      </w:r>
      <w:proofErr w:type="spellEnd"/>
      <w:r w:rsidRPr="005C3CE4">
        <w:t xml:space="preserve"> &amp; </w:t>
      </w:r>
      <w:proofErr w:type="spellStart"/>
      <w:r w:rsidRPr="005C3CE4">
        <w:t>Muthen</w:t>
      </w:r>
      <w:proofErr w:type="spellEnd"/>
      <w:r w:rsidRPr="005C3CE4">
        <w:t xml:space="preserve">, 2017) was used for data analysis. The relationship between </w:t>
      </w:r>
      <w:r w:rsidR="001A7E57" w:rsidRPr="005C3CE4">
        <w:t>EP</w:t>
      </w:r>
      <w:r w:rsidRPr="005C3CE4">
        <w:t xml:space="preserve"> and MF </w:t>
      </w:r>
      <w:r w:rsidR="0051658C" w:rsidRPr="005C3CE4">
        <w:t xml:space="preserve">over time </w:t>
      </w:r>
      <w:r w:rsidRPr="005C3CE4">
        <w:t xml:space="preserve">was modeled </w:t>
      </w:r>
      <w:r w:rsidR="003A7E1F">
        <w:t xml:space="preserve">using </w:t>
      </w:r>
      <w:r w:rsidRPr="005C3CE4">
        <w:t xml:space="preserve">a bivariate DSEM approach. </w:t>
      </w:r>
      <w:r w:rsidR="00412B29" w:rsidRPr="005C3CE4">
        <w:t xml:space="preserve">To align the data from all participants onto a single time spectrum, the time stamp for the first data entry was set to zero, and the timestamps for subsequent data entries were set to the difference between the first and subsequent data entries. </w:t>
      </w:r>
      <w:r w:rsidRPr="005C3CE4">
        <w:t xml:space="preserve">The unequal spacing of assessments caused by varying time of playing </w:t>
      </w:r>
      <w:proofErr w:type="spellStart"/>
      <w:r w:rsidRPr="005C3CE4">
        <w:t>esport</w:t>
      </w:r>
      <w:proofErr w:type="spellEnd"/>
      <w:r w:rsidRPr="005C3CE4">
        <w:t xml:space="preserve"> </w:t>
      </w:r>
      <w:r w:rsidR="009129B9">
        <w:t xml:space="preserve">within </w:t>
      </w:r>
      <w:r w:rsidR="005804AA">
        <w:t>and across</w:t>
      </w:r>
      <w:r w:rsidR="00B54C50">
        <w:t xml:space="preserve"> participant</w:t>
      </w:r>
      <w:r w:rsidR="005804AA">
        <w:t>s</w:t>
      </w:r>
      <w:r w:rsidR="00B54C50">
        <w:t xml:space="preserve"> </w:t>
      </w:r>
      <w:r w:rsidRPr="005C3CE4">
        <w:t xml:space="preserve">was resolved by utilizing the TINTERVAL option in </w:t>
      </w:r>
      <w:proofErr w:type="spellStart"/>
      <w:r w:rsidRPr="005C3CE4">
        <w:t>Mplus</w:t>
      </w:r>
      <w:proofErr w:type="spellEnd"/>
      <w:r w:rsidR="00FB538A" w:rsidRPr="005C3CE4">
        <w:t xml:space="preserve"> with a time window of 12 hours</w:t>
      </w:r>
      <w:r w:rsidR="00040DB8" w:rsidRPr="005C3CE4">
        <w:t xml:space="preserve">. </w:t>
      </w:r>
      <w:r w:rsidR="00EE511E" w:rsidRPr="005C3CE4">
        <w:t>Since the</w:t>
      </w:r>
      <w:r w:rsidRPr="005C3CE4">
        <w:t xml:space="preserve"> number of available data points accounted for 16.67% of the total number of </w:t>
      </w:r>
      <w:r w:rsidR="00BC27FC" w:rsidRPr="005C3CE4">
        <w:t>time windows</w:t>
      </w:r>
      <w:r w:rsidRPr="005C3CE4">
        <w:t xml:space="preserve"> for participant</w:t>
      </w:r>
      <w:r w:rsidR="00442B78" w:rsidRPr="005C3CE4">
        <w:t>s</w:t>
      </w:r>
      <w:r w:rsidRPr="005C3CE4">
        <w:t xml:space="preserve"> with the lowest response rate</w:t>
      </w:r>
      <w:r w:rsidR="00170CF6" w:rsidRPr="005C3CE4">
        <w:t xml:space="preserve"> (</w:t>
      </w:r>
      <w:r w:rsidR="00FD0D84">
        <w:t>five</w:t>
      </w:r>
      <w:r w:rsidR="00170CF6" w:rsidRPr="005C3CE4">
        <w:t xml:space="preserve"> responses)</w:t>
      </w:r>
      <w:r w:rsidRPr="005C3CE4">
        <w:t xml:space="preserve">, the parameter estimate was </w:t>
      </w:r>
      <w:r w:rsidR="001118D4" w:rsidRPr="005C3CE4">
        <w:t>un</w:t>
      </w:r>
      <w:r w:rsidRPr="005C3CE4">
        <w:t>likely to be biased (</w:t>
      </w:r>
      <w:proofErr w:type="spellStart"/>
      <w:r w:rsidRPr="005C3CE4">
        <w:t>Asparouhov</w:t>
      </w:r>
      <w:proofErr w:type="spellEnd"/>
      <w:r w:rsidRPr="005C3CE4">
        <w:t xml:space="preserve"> et al., 2018).</w:t>
      </w:r>
    </w:p>
    <w:p w14:paraId="79D2F874" w14:textId="2BEEE7A2" w:rsidR="003C3C6B" w:rsidRPr="005C3CE4" w:rsidRDefault="00CC0969" w:rsidP="003C3C6B">
      <w:pPr>
        <w:pStyle w:val="BodyText"/>
      </w:pPr>
      <w:r w:rsidRPr="005C3CE4">
        <w:t xml:space="preserve">The DSEM decomposed the variance of </w:t>
      </w:r>
      <w:r w:rsidR="001A7E57" w:rsidRPr="005C3CE4">
        <w:t>EP</w:t>
      </w:r>
      <w:r w:rsidRPr="005C3CE4">
        <w:t xml:space="preserve"> and MF into within-person and between-person parts based on a latent mean approach (</w:t>
      </w:r>
      <w:proofErr w:type="spellStart"/>
      <w:r w:rsidRPr="005C3CE4">
        <w:t>Asparouhov</w:t>
      </w:r>
      <w:proofErr w:type="spellEnd"/>
      <w:r w:rsidRPr="005C3CE4">
        <w:t xml:space="preserve"> et al., 2018). At the within-person level, the means for </w:t>
      </w:r>
      <w:r w:rsidR="0003499E" w:rsidRPr="005C3CE4">
        <w:t>EP</w:t>
      </w:r>
      <w:r w:rsidRPr="005C3CE4">
        <w:t xml:space="preserve"> and MF were calculated separately for each individual. Two autoregressive parameters (ranging from -1 to 1) were calculated by regressing present </w:t>
      </w:r>
      <w:r w:rsidR="001A7E57" w:rsidRPr="005C3CE4">
        <w:t>EP</w:t>
      </w:r>
      <w:r w:rsidRPr="005C3CE4">
        <w:t xml:space="preserve">(t) and MF(t) on their </w:t>
      </w:r>
      <w:r w:rsidR="00A04843" w:rsidRPr="005C3CE4">
        <w:t>preceding</w:t>
      </w:r>
      <w:r w:rsidR="0099069F" w:rsidRPr="005C3CE4">
        <w:t xml:space="preserve"> </w:t>
      </w:r>
      <w:r w:rsidRPr="005C3CE4">
        <w:t xml:space="preserve">assessments (t-1). </w:t>
      </w:r>
      <w:r w:rsidR="00E55F3A" w:rsidRPr="005C3CE4">
        <w:t xml:space="preserve">In addition, </w:t>
      </w:r>
      <w:r w:rsidRPr="005C3CE4">
        <w:t xml:space="preserve">present MF(t) was regressed on present </w:t>
      </w:r>
      <w:r w:rsidR="001A7E57" w:rsidRPr="005C3CE4">
        <w:t>EP</w:t>
      </w:r>
      <w:r w:rsidRPr="005C3CE4">
        <w:t xml:space="preserve">(t) to represent the impact of </w:t>
      </w:r>
      <w:r w:rsidR="001A7E57" w:rsidRPr="005C3CE4">
        <w:t>EP</w:t>
      </w:r>
      <w:r w:rsidRPr="005C3CE4">
        <w:t xml:space="preserve"> on post-game MF</w:t>
      </w:r>
      <w:r w:rsidR="00E55F3A" w:rsidRPr="005C3CE4">
        <w:t xml:space="preserve"> </w:t>
      </w:r>
      <w:r w:rsidR="00B97AE3">
        <w:t>while</w:t>
      </w:r>
      <w:r w:rsidR="00E55F3A" w:rsidRPr="005C3CE4">
        <w:t xml:space="preserve"> </w:t>
      </w:r>
      <w:r w:rsidRPr="005C3CE4">
        <w:t xml:space="preserve">present </w:t>
      </w:r>
      <w:r w:rsidR="001A7E57" w:rsidRPr="005C3CE4">
        <w:t>EP</w:t>
      </w:r>
      <w:r w:rsidRPr="005C3CE4">
        <w:t xml:space="preserve">(t) was regressed on </w:t>
      </w:r>
      <w:r w:rsidR="00BD5033" w:rsidRPr="005C3CE4">
        <w:t xml:space="preserve">preceding </w:t>
      </w:r>
      <w:r w:rsidRPr="005C3CE4">
        <w:t xml:space="preserve">MF(t-1) to represent the impact of MF on </w:t>
      </w:r>
      <w:r w:rsidR="001A7E57" w:rsidRPr="005C3CE4">
        <w:t>EP</w:t>
      </w:r>
      <w:r w:rsidR="00B570C3">
        <w:t>, serving as two cross-lagged paths</w:t>
      </w:r>
      <w:r w:rsidR="00F10E33">
        <w:t xml:space="preserve">. </w:t>
      </w:r>
      <w:r w:rsidRPr="005C3CE4">
        <w:t>At the between-person level, the six within-person parameters were allowed to vary across individuals (random effects) and were</w:t>
      </w:r>
      <w:r w:rsidR="007975FE">
        <w:t xml:space="preserve"> allowed to</w:t>
      </w:r>
      <w:r w:rsidRPr="005C3CE4">
        <w:t xml:space="preserve"> correlate with each other. Participant </w:t>
      </w:r>
      <w:r w:rsidR="00CB2871">
        <w:t xml:space="preserve">characteristics of </w:t>
      </w:r>
      <w:r w:rsidR="0059670A">
        <w:t>gender</w:t>
      </w:r>
      <w:r w:rsidRPr="005C3CE4">
        <w:t xml:space="preserve">, playing preference (playing with friends in person; or playing with friends online), and </w:t>
      </w:r>
      <w:r w:rsidR="0035758D">
        <w:t xml:space="preserve">number of </w:t>
      </w:r>
      <w:r w:rsidRPr="005C3CE4">
        <w:t>years play</w:t>
      </w:r>
      <w:r w:rsidR="0051345F">
        <w:t>ing</w:t>
      </w:r>
      <w:r w:rsidRPr="005C3CE4">
        <w:t xml:space="preserve"> </w:t>
      </w:r>
      <w:proofErr w:type="spellStart"/>
      <w:r w:rsidRPr="005C3CE4">
        <w:t>esport</w:t>
      </w:r>
      <w:proofErr w:type="spellEnd"/>
      <w:r w:rsidRPr="005C3CE4">
        <w:t xml:space="preserve"> were used as covariates to predict all random effects. Figure </w:t>
      </w:r>
      <w:r w:rsidR="007B6614" w:rsidRPr="005C3CE4">
        <w:t>2</w:t>
      </w:r>
      <w:r w:rsidRPr="005C3CE4">
        <w:t xml:space="preserve"> showed the graphical representation of the model.</w:t>
      </w:r>
      <w:r w:rsidR="003C3C6B" w:rsidRPr="005C3CE4">
        <w:t xml:space="preserve"> </w:t>
      </w:r>
    </w:p>
    <w:p w14:paraId="7529E9CC" w14:textId="63E15BAD" w:rsidR="007C7128" w:rsidRPr="005C3CE4" w:rsidRDefault="003C3C6B" w:rsidP="00F97E16">
      <w:pPr>
        <w:pStyle w:val="BodyText"/>
      </w:pPr>
      <w:r w:rsidRPr="005C3CE4">
        <w:lastRenderedPageBreak/>
        <w:t xml:space="preserve">The Bayes full information estimator was used to estimate the model parameters based on non-informative priors. Two Markov chain Monte Carlo (MCMC) chains were used with 50000 each, and a thinning of 10. The 95% credible interval (95%CI) was used to examine statistical significance of effects. If the 95%CI did </w:t>
      </w:r>
      <w:r w:rsidR="00503F6A" w:rsidRPr="005C3CE4">
        <w:t xml:space="preserve">not </w:t>
      </w:r>
      <w:r w:rsidRPr="005C3CE4">
        <w:t xml:space="preserve">contain zero, the corresponding effect was deemed statistically significant. The individually standardized parameters provided by </w:t>
      </w:r>
      <w:proofErr w:type="spellStart"/>
      <w:r w:rsidRPr="005C3CE4">
        <w:t>Mplus</w:t>
      </w:r>
      <w:proofErr w:type="spellEnd"/>
      <w:r w:rsidRPr="005C3CE4">
        <w:t xml:space="preserve"> were used in the results.</w:t>
      </w:r>
    </w:p>
    <w:p w14:paraId="5FBB4CFE" w14:textId="01E33146" w:rsidR="001E4F62" w:rsidRPr="005C3CE4" w:rsidRDefault="0002780C">
      <w:pPr>
        <w:pStyle w:val="BodyText"/>
      </w:pPr>
      <w:r>
        <w:rPr>
          <w:noProof/>
        </w:rPr>
        <w:drawing>
          <wp:inline distT="0" distB="0" distL="0" distR="0" wp14:anchorId="03E60301" wp14:editId="3CE50F0D">
            <wp:extent cx="5642794" cy="3806456"/>
            <wp:effectExtent l="0" t="0" r="0" b="3810"/>
            <wp:docPr id="5" name="Picture 5"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 schematic&#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8789" cy="3817246"/>
                    </a:xfrm>
                    <a:prstGeom prst="rect">
                      <a:avLst/>
                    </a:prstGeom>
                  </pic:spPr>
                </pic:pic>
              </a:graphicData>
            </a:graphic>
          </wp:inline>
        </w:drawing>
      </w:r>
    </w:p>
    <w:p w14:paraId="21A54643" w14:textId="3F74FA7F" w:rsidR="00B8799D" w:rsidRPr="005C3CE4" w:rsidRDefault="00B8799D" w:rsidP="005D2E9E">
      <w:pPr>
        <w:pStyle w:val="BodyText"/>
      </w:pPr>
      <w:r w:rsidRPr="005C3CE4">
        <w:t>Fig</w:t>
      </w:r>
      <w:r w:rsidR="00FB45AB">
        <w:t>.</w:t>
      </w:r>
      <w:r w:rsidRPr="005C3CE4">
        <w:t xml:space="preserve"> </w:t>
      </w:r>
      <w:r w:rsidR="001E346A" w:rsidRPr="005C3CE4">
        <w:t>2</w:t>
      </w:r>
      <w:r w:rsidRPr="005C3CE4">
        <w:t xml:space="preserve">. </w:t>
      </w:r>
      <w:r w:rsidR="003642CC" w:rsidRPr="005C3CE4">
        <w:t>Graphical representation of the dynamic structural equation model</w:t>
      </w:r>
      <w:r w:rsidR="000F4E48" w:rsidRPr="005C3CE4">
        <w:t xml:space="preserve">. </w:t>
      </w:r>
      <w:r w:rsidR="0067343B" w:rsidRPr="005C3CE4">
        <w:t xml:space="preserve">(w) </w:t>
      </w:r>
      <w:r w:rsidR="00CB4945" w:rsidRPr="005C3CE4">
        <w:t xml:space="preserve">= </w:t>
      </w:r>
      <w:r w:rsidR="0067343B" w:rsidRPr="005C3CE4">
        <w:t xml:space="preserve">within-person effect; (b) </w:t>
      </w:r>
      <w:r w:rsidR="00D76F00" w:rsidRPr="005C3CE4">
        <w:t xml:space="preserve">= </w:t>
      </w:r>
      <w:r w:rsidR="0067343B" w:rsidRPr="005C3CE4">
        <w:t xml:space="preserve">between-person effect; </w:t>
      </w:r>
      <w:r w:rsidR="00CB4945" w:rsidRPr="005C3CE4">
        <w:t>E</w:t>
      </w:r>
      <w:r w:rsidR="00887CBD">
        <w:t>P</w:t>
      </w:r>
      <w:r w:rsidR="009B34C3" w:rsidRPr="005C3CE4">
        <w:t xml:space="preserve"> = </w:t>
      </w:r>
      <w:proofErr w:type="spellStart"/>
      <w:r w:rsidR="00985A35">
        <w:t>esport</w:t>
      </w:r>
      <w:proofErr w:type="spellEnd"/>
      <w:r w:rsidR="00985A35">
        <w:t xml:space="preserve"> participation</w:t>
      </w:r>
      <w:r w:rsidR="009B34C3" w:rsidRPr="005C3CE4">
        <w:t xml:space="preserve">; </w:t>
      </w:r>
      <w:r w:rsidR="008A59B6" w:rsidRPr="005C3CE4">
        <w:t xml:space="preserve">MF = mental fatigue; </w:t>
      </w:r>
      <w:proofErr w:type="spellStart"/>
      <w:r w:rsidR="0088158E" w:rsidRPr="005C3CE4">
        <w:t>i</w:t>
      </w:r>
      <w:proofErr w:type="spellEnd"/>
      <w:r w:rsidR="0088158E" w:rsidRPr="005C3CE4">
        <w:t xml:space="preserve"> = </w:t>
      </w:r>
      <w:r w:rsidR="00A97E6F" w:rsidRPr="005C3CE4">
        <w:t xml:space="preserve">individual; </w:t>
      </w:r>
      <w:r w:rsidR="009F2AB3" w:rsidRPr="005C3CE4">
        <w:t xml:space="preserve">t = time point; </w:t>
      </w:r>
      <w:r w:rsidR="0020030D" w:rsidRPr="005C3CE4">
        <w:rPr>
          <w:lang w:val="el-GR"/>
        </w:rPr>
        <w:t>μ</w:t>
      </w:r>
      <w:r w:rsidR="0020030D" w:rsidRPr="005C3CE4">
        <w:t xml:space="preserve"> = mean</w:t>
      </w:r>
      <w:r w:rsidR="00F727DD" w:rsidRPr="005C3CE4">
        <w:t xml:space="preserve">; </w:t>
      </w:r>
      <w:r w:rsidR="00FC0B4A" w:rsidRPr="005C3CE4">
        <w:rPr>
          <w:rFonts w:cs="Times New Roman"/>
          <w:lang w:val="el-GR"/>
        </w:rPr>
        <w:t>Φ</w:t>
      </w:r>
      <w:r w:rsidR="00FC0B4A" w:rsidRPr="005C3CE4">
        <w:rPr>
          <w:rFonts w:cs="Times New Roman"/>
          <w:vertAlign w:val="subscript"/>
        </w:rPr>
        <w:t xml:space="preserve">mm </w:t>
      </w:r>
      <w:r w:rsidR="00FC0B4A" w:rsidRPr="005C3CE4">
        <w:rPr>
          <w:rFonts w:cs="Times New Roman"/>
        </w:rPr>
        <w:t xml:space="preserve">= inertia of mental fatigue; </w:t>
      </w:r>
      <w:r w:rsidR="00DB1FD5" w:rsidRPr="005C3CE4">
        <w:rPr>
          <w:rFonts w:cs="Times New Roman"/>
          <w:lang w:val="el-GR"/>
        </w:rPr>
        <w:t>β</w:t>
      </w:r>
      <w:proofErr w:type="spellStart"/>
      <w:r w:rsidR="00DB1FD5" w:rsidRPr="005C3CE4">
        <w:rPr>
          <w:rFonts w:cs="Times New Roman"/>
          <w:vertAlign w:val="subscript"/>
        </w:rPr>
        <w:t>em</w:t>
      </w:r>
      <w:proofErr w:type="spellEnd"/>
      <w:r w:rsidR="00DB1FD5" w:rsidRPr="005C3CE4">
        <w:rPr>
          <w:rFonts w:cs="Times New Roman"/>
        </w:rPr>
        <w:t xml:space="preserve"> = cross-lagged effect of </w:t>
      </w:r>
      <w:proofErr w:type="spellStart"/>
      <w:r w:rsidR="00176507">
        <w:rPr>
          <w:rFonts w:cs="Times New Roman"/>
        </w:rPr>
        <w:t>esport</w:t>
      </w:r>
      <w:proofErr w:type="spellEnd"/>
      <w:r w:rsidR="00176507">
        <w:rPr>
          <w:rFonts w:cs="Times New Roman"/>
        </w:rPr>
        <w:t xml:space="preserve"> participation</w:t>
      </w:r>
      <w:r w:rsidR="00DB1FD5" w:rsidRPr="005C3CE4">
        <w:rPr>
          <w:rFonts w:cs="Times New Roman"/>
        </w:rPr>
        <w:t xml:space="preserve"> on </w:t>
      </w:r>
      <w:r w:rsidR="005D09DE">
        <w:rPr>
          <w:rFonts w:cs="Times New Roman"/>
        </w:rPr>
        <w:t>mental fatigue</w:t>
      </w:r>
      <w:r w:rsidR="00DB1FD5" w:rsidRPr="005C3CE4">
        <w:rPr>
          <w:rFonts w:cs="Times New Roman"/>
        </w:rPr>
        <w:t xml:space="preserve">; </w:t>
      </w:r>
      <w:r w:rsidR="00FC0B4A" w:rsidRPr="005C3CE4">
        <w:rPr>
          <w:rFonts w:cs="Times New Roman"/>
          <w:lang w:val="el-GR"/>
        </w:rPr>
        <w:t>β</w:t>
      </w:r>
      <w:r w:rsidR="00FC0B4A" w:rsidRPr="005C3CE4">
        <w:rPr>
          <w:rFonts w:cs="Times New Roman"/>
          <w:vertAlign w:val="subscript"/>
        </w:rPr>
        <w:t xml:space="preserve">me </w:t>
      </w:r>
      <w:r w:rsidR="00FC0B4A" w:rsidRPr="005C3CE4">
        <w:rPr>
          <w:rFonts w:cs="Times New Roman"/>
        </w:rPr>
        <w:t xml:space="preserve"> = cross-lagged effect of mental fatigue on </w:t>
      </w:r>
      <w:proofErr w:type="spellStart"/>
      <w:r w:rsidR="00325C9A">
        <w:rPr>
          <w:rFonts w:cs="Times New Roman"/>
        </w:rPr>
        <w:t>esport</w:t>
      </w:r>
      <w:proofErr w:type="spellEnd"/>
      <w:r w:rsidR="00325C9A">
        <w:rPr>
          <w:rFonts w:cs="Times New Roman"/>
        </w:rPr>
        <w:t xml:space="preserve"> participation</w:t>
      </w:r>
      <w:r w:rsidR="00FC0B4A" w:rsidRPr="005C3CE4">
        <w:rPr>
          <w:rFonts w:cs="Times New Roman"/>
        </w:rPr>
        <w:t xml:space="preserve">; </w:t>
      </w:r>
      <w:r w:rsidR="00FC0B4A" w:rsidRPr="005C3CE4">
        <w:rPr>
          <w:rFonts w:cs="Times New Roman"/>
          <w:lang w:val="el-GR"/>
        </w:rPr>
        <w:t>Φ</w:t>
      </w:r>
      <w:proofErr w:type="spellStart"/>
      <w:r w:rsidR="00FC0B4A" w:rsidRPr="005C3CE4">
        <w:rPr>
          <w:rFonts w:cs="Times New Roman"/>
          <w:vertAlign w:val="subscript"/>
        </w:rPr>
        <w:t>ee</w:t>
      </w:r>
      <w:proofErr w:type="spellEnd"/>
      <w:r w:rsidR="00FC0B4A" w:rsidRPr="005C3CE4">
        <w:rPr>
          <w:rFonts w:cs="Times New Roman"/>
          <w:vertAlign w:val="subscript"/>
        </w:rPr>
        <w:t xml:space="preserve"> </w:t>
      </w:r>
      <w:r w:rsidR="00FC0B4A" w:rsidRPr="005C3CE4">
        <w:rPr>
          <w:rFonts w:cs="Times New Roman"/>
        </w:rPr>
        <w:t xml:space="preserve"> = inertia of </w:t>
      </w:r>
      <w:proofErr w:type="spellStart"/>
      <w:r w:rsidR="003F120D">
        <w:rPr>
          <w:rFonts w:cs="Times New Roman"/>
        </w:rPr>
        <w:t>esport</w:t>
      </w:r>
      <w:proofErr w:type="spellEnd"/>
      <w:r w:rsidR="003F120D">
        <w:rPr>
          <w:rFonts w:cs="Times New Roman"/>
        </w:rPr>
        <w:t xml:space="preserve"> participation</w:t>
      </w:r>
      <w:r w:rsidR="00F66A62" w:rsidRPr="005C3CE4">
        <w:rPr>
          <w:rFonts w:cs="Times New Roman"/>
        </w:rPr>
        <w:t xml:space="preserve">; </w:t>
      </w:r>
      <w:r w:rsidR="00F66A62" w:rsidRPr="005C3CE4">
        <w:rPr>
          <w:rFonts w:cs="Times New Roman"/>
          <w:lang w:val="el-GR"/>
        </w:rPr>
        <w:t>ψ</w:t>
      </w:r>
      <w:r w:rsidR="00F66A62" w:rsidRPr="005C3CE4">
        <w:rPr>
          <w:rFonts w:cs="Times New Roman"/>
        </w:rPr>
        <w:t xml:space="preserve"> = residual variance; </w:t>
      </w:r>
      <w:r w:rsidR="00D66FEE" w:rsidRPr="005C3CE4">
        <w:rPr>
          <w:rFonts w:cs="Times New Roman"/>
        </w:rPr>
        <w:t xml:space="preserve">PFO = playing with friends online; PFF = playing with friends </w:t>
      </w:r>
      <w:r w:rsidR="00C45027">
        <w:rPr>
          <w:rFonts w:cs="Times New Roman"/>
        </w:rPr>
        <w:t>in person</w:t>
      </w:r>
      <w:r w:rsidR="00A61E20" w:rsidRPr="005C3CE4">
        <w:rPr>
          <w:rFonts w:cs="Times New Roman"/>
        </w:rPr>
        <w:t xml:space="preserve">; </w:t>
      </w:r>
      <w:r w:rsidR="00AA4EF0" w:rsidRPr="005C3CE4">
        <w:rPr>
          <w:rFonts w:cs="Times New Roman"/>
        </w:rPr>
        <w:t xml:space="preserve">Years = </w:t>
      </w:r>
      <w:r w:rsidR="00805A79" w:rsidRPr="00805A79">
        <w:rPr>
          <w:rFonts w:cs="Times New Roman"/>
        </w:rPr>
        <w:t xml:space="preserve">number of years playing </w:t>
      </w:r>
      <w:proofErr w:type="spellStart"/>
      <w:r w:rsidR="00805A79" w:rsidRPr="00805A79">
        <w:rPr>
          <w:rFonts w:cs="Times New Roman"/>
        </w:rPr>
        <w:t>esport</w:t>
      </w:r>
      <w:proofErr w:type="spellEnd"/>
      <w:r w:rsidR="00AA4EF0" w:rsidRPr="005C3CE4">
        <w:rPr>
          <w:rFonts w:cs="Times New Roman"/>
        </w:rPr>
        <w:t xml:space="preserve">; </w:t>
      </w:r>
      <w:r w:rsidR="005334AF" w:rsidRPr="005C3CE4">
        <w:rPr>
          <w:noProof/>
        </w:rPr>
        <w:lastRenderedPageBreak/>
        <mc:AlternateContent>
          <mc:Choice Requires="wps">
            <w:drawing>
              <wp:anchor distT="0" distB="0" distL="114300" distR="114300" simplePos="0" relativeHeight="251659264" behindDoc="0" locked="0" layoutInCell="1" allowOverlap="1" wp14:anchorId="51E22E53" wp14:editId="645331E8">
                <wp:simplePos x="0" y="0"/>
                <wp:positionH relativeFrom="column">
                  <wp:posOffset>4394200</wp:posOffset>
                </wp:positionH>
                <wp:positionV relativeFrom="paragraph">
                  <wp:posOffset>26107</wp:posOffset>
                </wp:positionV>
                <wp:extent cx="191135" cy="156845"/>
                <wp:effectExtent l="50800" t="38100" r="12065" b="84455"/>
                <wp:wrapNone/>
                <wp:docPr id="2" name="Right Arrow 2"/>
                <wp:cNvGraphicFramePr/>
                <a:graphic xmlns:a="http://schemas.openxmlformats.org/drawingml/2006/main">
                  <a:graphicData uri="http://schemas.microsoft.com/office/word/2010/wordprocessingShape">
                    <wps:wsp>
                      <wps:cNvSpPr/>
                      <wps:spPr>
                        <a:xfrm>
                          <a:off x="0" y="0"/>
                          <a:ext cx="191135" cy="156845"/>
                        </a:xfrm>
                        <a:prstGeom prst="rightArrow">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8D9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46pt;margin-top:2.05pt;width:15.05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" adj="12738" fillcolor="black [3213]" strokecolor="black [3213]">
                <v:shadow on="t" color="black" opacity="22937f" origin=",.5" offset="0,.63889mm"/>
              </v:shape>
            </w:pict>
          </mc:Fallback>
        </mc:AlternateContent>
      </w:r>
      <w:r w:rsidR="005334AF">
        <w:rPr>
          <w:noProof/>
        </w:rPr>
        <mc:AlternateContent>
          <mc:Choice Requires="wps">
            <w:drawing>
              <wp:anchor distT="0" distB="0" distL="114300" distR="114300" simplePos="0" relativeHeight="251660288" behindDoc="0" locked="0" layoutInCell="1" allowOverlap="1" wp14:anchorId="61453B7F" wp14:editId="5405E3E0">
                <wp:simplePos x="0" y="0"/>
                <wp:positionH relativeFrom="column">
                  <wp:posOffset>2651197</wp:posOffset>
                </wp:positionH>
                <wp:positionV relativeFrom="paragraph">
                  <wp:posOffset>31115</wp:posOffset>
                </wp:positionV>
                <wp:extent cx="148590" cy="136525"/>
                <wp:effectExtent l="50800" t="25400" r="3810" b="79375"/>
                <wp:wrapNone/>
                <wp:docPr id="3" name="Oval 3"/>
                <wp:cNvGraphicFramePr/>
                <a:graphic xmlns:a="http://schemas.openxmlformats.org/drawingml/2006/main">
                  <a:graphicData uri="http://schemas.microsoft.com/office/word/2010/wordprocessingShape">
                    <wps:wsp>
                      <wps:cNvSpPr/>
                      <wps:spPr>
                        <a:xfrm>
                          <a:off x="0" y="0"/>
                          <a:ext cx="148590" cy="136525"/>
                        </a:xfrm>
                        <a:prstGeom prst="ellipse">
                          <a:avLst/>
                        </a:prstGeom>
                        <a:solidFill>
                          <a:schemeClr val="tx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BBC384" id="Oval 3" o:spid="_x0000_s1026" style="position:absolute;margin-left:208.75pt;margin-top:2.45pt;width:11.7pt;height:1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" fillcolor="black [3213]" strokecolor="black [3213]">
                <v:shadow on="t" color="black" opacity="22937f" origin=",.5" offset="0,.63889mm"/>
              </v:oval>
            </w:pict>
          </mc:Fallback>
        </mc:AlternateContent>
      </w:r>
      <w:r w:rsidR="00A61E20" w:rsidRPr="005C3CE4">
        <w:rPr>
          <w:rFonts w:cs="Times New Roman"/>
        </w:rPr>
        <w:t xml:space="preserve">solid black circles indicate random effects; </w:t>
      </w:r>
      <w:r w:rsidR="00564A48" w:rsidRPr="005C3CE4">
        <w:rPr>
          <w:rFonts w:cs="Times New Roman"/>
        </w:rPr>
        <w:t xml:space="preserve">     </w:t>
      </w:r>
      <w:r w:rsidR="001835AE">
        <w:rPr>
          <w:rFonts w:cs="Times New Roman"/>
        </w:rPr>
        <w:t>indicates random effects;</w:t>
      </w:r>
      <w:r w:rsidR="00564A48" w:rsidRPr="005C3CE4">
        <w:rPr>
          <w:rFonts w:cs="Times New Roman"/>
        </w:rPr>
        <w:t xml:space="preserve">    </w:t>
      </w:r>
      <w:r w:rsidR="001835AE">
        <w:rPr>
          <w:rFonts w:cs="Times New Roman"/>
        </w:rPr>
        <w:t xml:space="preserve">  </w:t>
      </w:r>
      <w:r w:rsidR="00564A48" w:rsidRPr="005C3CE4">
        <w:rPr>
          <w:rFonts w:cs="Times New Roman"/>
        </w:rPr>
        <w:t>indicate</w:t>
      </w:r>
      <w:r w:rsidR="001835AE">
        <w:rPr>
          <w:rFonts w:cs="Times New Roman"/>
        </w:rPr>
        <w:t>s</w:t>
      </w:r>
      <w:r w:rsidR="00564A48" w:rsidRPr="005C3CE4">
        <w:rPr>
          <w:rFonts w:cs="Times New Roman"/>
        </w:rPr>
        <w:t xml:space="preserve"> </w:t>
      </w:r>
      <w:r w:rsidR="00EF6E69" w:rsidRPr="005C3CE4">
        <w:rPr>
          <w:rFonts w:cs="Times New Roman"/>
        </w:rPr>
        <w:t>all random effects</w:t>
      </w:r>
      <w:r w:rsidR="004C561D" w:rsidRPr="005C3CE4">
        <w:rPr>
          <w:rFonts w:cs="Times New Roman"/>
        </w:rPr>
        <w:t xml:space="preserve"> </w:t>
      </w:r>
      <w:r w:rsidR="00ED1360" w:rsidRPr="005C3CE4">
        <w:rPr>
          <w:rFonts w:cs="Times New Roman"/>
        </w:rPr>
        <w:t>regressed on</w:t>
      </w:r>
      <w:r w:rsidR="00EF6E69" w:rsidRPr="005C3CE4">
        <w:rPr>
          <w:rFonts w:cs="Times New Roman"/>
        </w:rPr>
        <w:t xml:space="preserve"> </w:t>
      </w:r>
      <w:r w:rsidR="005E7F92" w:rsidRPr="005C3CE4">
        <w:rPr>
          <w:rFonts w:cs="Times New Roman"/>
        </w:rPr>
        <w:t>each covariate</w:t>
      </w:r>
      <w:r w:rsidR="006C3E5B">
        <w:rPr>
          <w:rFonts w:cs="Times New Roman"/>
        </w:rPr>
        <w:t>.</w:t>
      </w:r>
    </w:p>
    <w:p w14:paraId="03762651" w14:textId="119F956C" w:rsidR="00154E3E" w:rsidRPr="005C3CE4" w:rsidRDefault="00CC0969" w:rsidP="00863D6F">
      <w:pPr>
        <w:pStyle w:val="Heading1"/>
      </w:pPr>
      <w:bookmarkStart w:id="7" w:name="results"/>
      <w:bookmarkEnd w:id="2"/>
      <w:bookmarkEnd w:id="6"/>
      <w:r w:rsidRPr="005C3CE4">
        <w:t>Results</w:t>
      </w:r>
      <w:bookmarkStart w:id="8" w:name="participants-characteristics"/>
    </w:p>
    <w:p w14:paraId="3233F866" w14:textId="192A8ECA" w:rsidR="001D3A8E" w:rsidRPr="005C3CE4" w:rsidRDefault="00526548" w:rsidP="00C90A00">
      <w:pPr>
        <w:pStyle w:val="Heading2"/>
      </w:pPr>
      <w:r w:rsidRPr="005C3CE4">
        <w:t>Data</w:t>
      </w:r>
      <w:r w:rsidR="00FD0A85" w:rsidRPr="005C3CE4">
        <w:t xml:space="preserve"> </w:t>
      </w:r>
      <w:r w:rsidR="004F5F04" w:rsidRPr="005C3CE4">
        <w:t xml:space="preserve">screening and </w:t>
      </w:r>
      <w:r w:rsidRPr="005C3CE4">
        <w:t xml:space="preserve">participant </w:t>
      </w:r>
      <w:r w:rsidR="004F5F04" w:rsidRPr="005C3CE4">
        <w:t xml:space="preserve">characteristics </w:t>
      </w:r>
    </w:p>
    <w:p w14:paraId="085DD9E0" w14:textId="3C5C1812" w:rsidR="00BF40C7" w:rsidRDefault="005E08D7" w:rsidP="00F76CE4">
      <w:pPr>
        <w:pStyle w:val="FirstParagraph"/>
      </w:pPr>
      <w:r w:rsidRPr="005C3CE4">
        <w:t xml:space="preserve">At the conclusion of the longitudinal survey, participants reported 802 data entries. </w:t>
      </w:r>
      <w:r w:rsidR="00FC7ECD" w:rsidRPr="005C3CE4">
        <w:t>85 data entries that occurred within 12 hours of preceding entries stratified by </w:t>
      </w:r>
      <w:r w:rsidR="00404206" w:rsidRPr="005C3CE4">
        <w:t>participants</w:t>
      </w:r>
      <w:r w:rsidR="00FC7ECD" w:rsidRPr="005C3CE4">
        <w:t> were discarded</w:t>
      </w:r>
      <w:r w:rsidRPr="005C3CE4">
        <w:t xml:space="preserve"> </w:t>
      </w:r>
      <w:r w:rsidR="00EA6FFB" w:rsidRPr="005C3CE4">
        <w:t xml:space="preserve">to prepare </w:t>
      </w:r>
      <w:r w:rsidR="0023132C" w:rsidRPr="005C3CE4">
        <w:t xml:space="preserve">the dataset </w:t>
      </w:r>
      <w:r w:rsidR="00567D13" w:rsidRPr="005C3CE4">
        <w:t xml:space="preserve">for the treatment of </w:t>
      </w:r>
      <w:r w:rsidR="00551502" w:rsidRPr="005C3CE4">
        <w:t xml:space="preserve">unequal </w:t>
      </w:r>
      <w:r w:rsidR="006511AC" w:rsidRPr="005C3CE4">
        <w:t xml:space="preserve">spacing </w:t>
      </w:r>
      <w:r w:rsidR="00272D72" w:rsidRPr="005C3CE4">
        <w:t>issues</w:t>
      </w:r>
      <w:r w:rsidR="004B70BA" w:rsidRPr="005C3CE4">
        <w:t xml:space="preserve"> </w:t>
      </w:r>
      <w:r w:rsidRPr="005C3CE4">
        <w:t xml:space="preserve">detailed in the statistical analysis section. </w:t>
      </w:r>
      <w:r w:rsidR="006406A7">
        <w:t>P</w:t>
      </w:r>
      <w:r w:rsidRPr="005C3CE4">
        <w:t xml:space="preserve">articipants </w:t>
      </w:r>
      <w:r w:rsidR="006406A7">
        <w:t>(</w:t>
      </w:r>
      <w:r w:rsidR="006406A7" w:rsidRPr="00570B44">
        <w:rPr>
          <w:i/>
        </w:rPr>
        <w:t>n</w:t>
      </w:r>
      <w:r w:rsidR="006406A7">
        <w:t xml:space="preserve"> = 44) </w:t>
      </w:r>
      <w:r w:rsidRPr="005C3CE4">
        <w:t xml:space="preserve">with fewer than five data entries </w:t>
      </w:r>
      <w:r w:rsidR="00570B44">
        <w:t>over the 15</w:t>
      </w:r>
      <w:r w:rsidR="00807616">
        <w:t>-</w:t>
      </w:r>
      <w:r w:rsidR="00570B44">
        <w:t xml:space="preserve">day data collection period </w:t>
      </w:r>
      <w:r w:rsidRPr="005C3CE4">
        <w:t>were excluded from the dataset</w:t>
      </w:r>
      <w:r w:rsidR="001364EA">
        <w:t xml:space="preserve"> because</w:t>
      </w:r>
      <w:r w:rsidR="00237C65">
        <w:t xml:space="preserve"> at least</w:t>
      </w:r>
      <w:r w:rsidR="00D86FCF">
        <w:t xml:space="preserve"> 83% </w:t>
      </w:r>
      <w:r w:rsidR="00D40A0D">
        <w:t xml:space="preserve">(25 </w:t>
      </w:r>
      <w:r w:rsidR="00DD28A5">
        <w:t xml:space="preserve">missing responses </w:t>
      </w:r>
      <w:r w:rsidR="00D40A0D">
        <w:t>divided by 30</w:t>
      </w:r>
      <w:r w:rsidR="00030E97">
        <w:t xml:space="preserve"> time windows</w:t>
      </w:r>
      <w:r w:rsidR="00D40A0D">
        <w:t xml:space="preserve">) </w:t>
      </w:r>
      <w:r w:rsidR="00D86FCF">
        <w:t xml:space="preserve">of missing data </w:t>
      </w:r>
      <w:r w:rsidR="003E1806">
        <w:t>would have been</w:t>
      </w:r>
      <w:r w:rsidR="00D86FCF">
        <w:t xml:space="preserve"> created </w:t>
      </w:r>
      <w:r w:rsidR="00FD0806">
        <w:t>for those participants</w:t>
      </w:r>
      <w:r w:rsidR="00104DD3">
        <w:t xml:space="preserve">, </w:t>
      </w:r>
      <w:r w:rsidR="00D86FCF">
        <w:t>which</w:t>
      </w:r>
      <w:r w:rsidR="00BD2FAD">
        <w:t xml:space="preserve"> </w:t>
      </w:r>
      <w:r w:rsidR="00C53DBB">
        <w:t xml:space="preserve">would bias the </w:t>
      </w:r>
      <w:r w:rsidR="00F26AD5">
        <w:t xml:space="preserve">individual </w:t>
      </w:r>
      <w:r w:rsidR="00C53DBB">
        <w:t xml:space="preserve">parameter estimates </w:t>
      </w:r>
      <w:r w:rsidR="002228C3" w:rsidRPr="005C3CE4">
        <w:t>(</w:t>
      </w:r>
      <w:proofErr w:type="spellStart"/>
      <w:r w:rsidR="002228C3" w:rsidRPr="005C3CE4">
        <w:t>Asparouhov</w:t>
      </w:r>
      <w:proofErr w:type="spellEnd"/>
      <w:r w:rsidR="002228C3" w:rsidRPr="005C3CE4">
        <w:t xml:space="preserve"> et al., 2018)</w:t>
      </w:r>
      <w:r w:rsidR="00C53DBB">
        <w:t>.</w:t>
      </w:r>
      <w:r w:rsidR="00EF1FB3">
        <w:t xml:space="preserve"> </w:t>
      </w:r>
      <w:r w:rsidRPr="005C3CE4">
        <w:t xml:space="preserve">Three individuals were excluded because their longitudinal study ID number did not match their background survey ID number. The data analysis included 63 participants. </w:t>
      </w:r>
      <w:r w:rsidR="00973776">
        <w:t xml:space="preserve">Descriptive statistics for participants </w:t>
      </w:r>
      <w:r w:rsidR="00E1487E">
        <w:t>are</w:t>
      </w:r>
      <w:r w:rsidR="00973776">
        <w:t xml:space="preserve"> summarized in table 1. </w:t>
      </w:r>
      <w:r w:rsidRPr="005C3CE4">
        <w:t>The mean response rate was 9.49 (</w:t>
      </w:r>
      <w:r w:rsidRPr="002421DA">
        <w:rPr>
          <w:i/>
          <w:iCs/>
        </w:rPr>
        <w:t>SD</w:t>
      </w:r>
      <w:r w:rsidRPr="005C3CE4">
        <w:t xml:space="preserve"> = 3.36). </w:t>
      </w:r>
    </w:p>
    <w:p w14:paraId="532BAEC3" w14:textId="4DDC62C1" w:rsidR="00F76CE4" w:rsidRDefault="00F76CE4" w:rsidP="00F76CE4">
      <w:pPr>
        <w:pStyle w:val="BodyText"/>
      </w:pPr>
    </w:p>
    <w:p w14:paraId="1AC55FE1" w14:textId="20FC0572" w:rsidR="00F76CE4" w:rsidRDefault="00F76CE4" w:rsidP="00F76CE4">
      <w:pPr>
        <w:pStyle w:val="BodyText"/>
      </w:pPr>
    </w:p>
    <w:p w14:paraId="7F699D8F" w14:textId="11CE6B2B" w:rsidR="00F76CE4" w:rsidRDefault="00F76CE4" w:rsidP="00F76CE4">
      <w:pPr>
        <w:pStyle w:val="BodyText"/>
      </w:pPr>
    </w:p>
    <w:p w14:paraId="36F1F99C" w14:textId="7C0196DB" w:rsidR="00F76CE4" w:rsidRDefault="00F76CE4" w:rsidP="00F76CE4">
      <w:pPr>
        <w:pStyle w:val="BodyText"/>
      </w:pPr>
    </w:p>
    <w:p w14:paraId="640550CF" w14:textId="3AF9FBC7" w:rsidR="00F76CE4" w:rsidRDefault="00F76CE4" w:rsidP="00F76CE4">
      <w:pPr>
        <w:pStyle w:val="BodyText"/>
      </w:pPr>
    </w:p>
    <w:p w14:paraId="233CCE52" w14:textId="6EC3EF23" w:rsidR="00F76CE4" w:rsidRDefault="00F76CE4" w:rsidP="00F76CE4">
      <w:pPr>
        <w:pStyle w:val="BodyText"/>
      </w:pPr>
    </w:p>
    <w:p w14:paraId="6DB9F943" w14:textId="129C80BE" w:rsidR="00F76CE4" w:rsidRDefault="00F76CE4" w:rsidP="00F76CE4">
      <w:pPr>
        <w:pStyle w:val="BodyText"/>
      </w:pPr>
    </w:p>
    <w:p w14:paraId="1903C72D" w14:textId="40FCCE22" w:rsidR="00F76CE4" w:rsidRDefault="00F76CE4" w:rsidP="00F76CE4">
      <w:pPr>
        <w:pStyle w:val="BodyText"/>
      </w:pPr>
    </w:p>
    <w:p w14:paraId="3D7CBE73" w14:textId="6F86C650" w:rsidR="00F76CE4" w:rsidRDefault="00F76CE4" w:rsidP="00F76CE4">
      <w:pPr>
        <w:pStyle w:val="BodyText"/>
      </w:pPr>
    </w:p>
    <w:p w14:paraId="2072E1AD" w14:textId="77777777" w:rsidR="002A62F0" w:rsidRPr="00F76CE4" w:rsidRDefault="002A62F0" w:rsidP="00F76CE4">
      <w:pPr>
        <w:pStyle w:val="BodyText"/>
      </w:pPr>
    </w:p>
    <w:p w14:paraId="27878D48" w14:textId="2A65398F" w:rsidR="008E58FC" w:rsidRPr="008E58FC" w:rsidRDefault="005E08D7" w:rsidP="005E08D7">
      <w:pPr>
        <w:pStyle w:val="BodyText"/>
        <w:ind w:firstLine="0"/>
        <w:rPr>
          <w:b/>
          <w:bCs/>
        </w:rPr>
      </w:pPr>
      <w:r w:rsidRPr="008E58FC">
        <w:rPr>
          <w:b/>
          <w:bCs/>
        </w:rPr>
        <w:lastRenderedPageBreak/>
        <w:t>Table 1</w:t>
      </w:r>
    </w:p>
    <w:p w14:paraId="56960A70" w14:textId="4515E348" w:rsidR="005E08D7" w:rsidRPr="005C3CE4" w:rsidRDefault="005E08D7" w:rsidP="005E08D7">
      <w:pPr>
        <w:pStyle w:val="BodyText"/>
        <w:ind w:firstLine="0"/>
      </w:pPr>
      <w:r w:rsidRPr="005C3CE4">
        <w:t>Descriptive statistics of participants’ background information (</w:t>
      </w:r>
      <w:r w:rsidRPr="005C3CE4">
        <w:rPr>
          <w:i/>
          <w:iCs/>
        </w:rPr>
        <w:t>N</w:t>
      </w:r>
      <w:r w:rsidRPr="005C3CE4">
        <w:t xml:space="preserve"> = 63)</w:t>
      </w:r>
      <w:r w:rsidR="008E58FC">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2442"/>
        <w:gridCol w:w="1460"/>
        <w:gridCol w:w="1505"/>
      </w:tblGrid>
      <w:tr w:rsidR="005E08D7" w:rsidRPr="005C3CE4" w14:paraId="36AF658A" w14:textId="77777777" w:rsidTr="00BA7923">
        <w:tc>
          <w:tcPr>
            <w:tcW w:w="2126" w:type="pct"/>
            <w:tcBorders>
              <w:top w:val="single" w:sz="4" w:space="0" w:color="000000"/>
              <w:bottom w:val="single" w:sz="4" w:space="0" w:color="000000"/>
            </w:tcBorders>
          </w:tcPr>
          <w:p w14:paraId="551B4ABF" w14:textId="77777777" w:rsidR="005E08D7" w:rsidRPr="005C3CE4" w:rsidRDefault="005E08D7" w:rsidP="00BA7923">
            <w:pPr>
              <w:spacing w:before="0" w:after="0" w:line="240" w:lineRule="auto"/>
            </w:pPr>
            <w:r w:rsidRPr="005C3CE4">
              <w:t>Variable</w:t>
            </w:r>
          </w:p>
        </w:tc>
        <w:tc>
          <w:tcPr>
            <w:tcW w:w="1298" w:type="pct"/>
            <w:tcBorders>
              <w:top w:val="single" w:sz="4" w:space="0" w:color="000000"/>
              <w:bottom w:val="single" w:sz="4" w:space="0" w:color="000000"/>
            </w:tcBorders>
          </w:tcPr>
          <w:p w14:paraId="130F55FC" w14:textId="77777777" w:rsidR="005E08D7" w:rsidRPr="005C3CE4" w:rsidRDefault="005E08D7" w:rsidP="00BA7923">
            <w:pPr>
              <w:spacing w:before="0" w:after="0" w:line="240" w:lineRule="auto"/>
            </w:pPr>
          </w:p>
        </w:tc>
        <w:tc>
          <w:tcPr>
            <w:tcW w:w="776" w:type="pct"/>
            <w:tcBorders>
              <w:top w:val="single" w:sz="4" w:space="0" w:color="000000"/>
              <w:bottom w:val="single" w:sz="4" w:space="0" w:color="000000"/>
            </w:tcBorders>
          </w:tcPr>
          <w:p w14:paraId="4E625ACB" w14:textId="77777777" w:rsidR="005E08D7" w:rsidRPr="005C3CE4" w:rsidRDefault="005E08D7" w:rsidP="00BA7923">
            <w:pPr>
              <w:spacing w:before="0" w:after="0" w:line="240" w:lineRule="auto"/>
              <w:jc w:val="center"/>
            </w:pPr>
            <w:r w:rsidRPr="005C3CE4">
              <w:t>Frequency</w:t>
            </w:r>
          </w:p>
        </w:tc>
        <w:tc>
          <w:tcPr>
            <w:tcW w:w="800" w:type="pct"/>
            <w:tcBorders>
              <w:top w:val="single" w:sz="4" w:space="0" w:color="000000"/>
              <w:bottom w:val="single" w:sz="4" w:space="0" w:color="000000"/>
            </w:tcBorders>
          </w:tcPr>
          <w:p w14:paraId="2E420B11" w14:textId="77777777" w:rsidR="005E08D7" w:rsidRPr="005C3CE4" w:rsidRDefault="005E08D7" w:rsidP="00BA7923">
            <w:pPr>
              <w:spacing w:before="0" w:after="0" w:line="240" w:lineRule="auto"/>
              <w:jc w:val="center"/>
            </w:pPr>
            <w:r w:rsidRPr="005C3CE4">
              <w:t>Percentage</w:t>
            </w:r>
          </w:p>
        </w:tc>
      </w:tr>
      <w:tr w:rsidR="005E08D7" w:rsidRPr="005C3CE4" w14:paraId="76E1B66C" w14:textId="77777777" w:rsidTr="00BA7923">
        <w:tc>
          <w:tcPr>
            <w:tcW w:w="2126" w:type="pct"/>
            <w:tcBorders>
              <w:top w:val="single" w:sz="4" w:space="0" w:color="000000"/>
            </w:tcBorders>
          </w:tcPr>
          <w:p w14:paraId="01D73B39" w14:textId="2308E915" w:rsidR="005E08D7" w:rsidRPr="005C3CE4" w:rsidRDefault="00540547" w:rsidP="00BA7923">
            <w:pPr>
              <w:spacing w:before="0" w:after="0" w:line="240" w:lineRule="auto"/>
            </w:pPr>
            <w:r w:rsidRPr="00406CA8">
              <w:t>Gender</w:t>
            </w:r>
          </w:p>
        </w:tc>
        <w:tc>
          <w:tcPr>
            <w:tcW w:w="1298" w:type="pct"/>
            <w:tcBorders>
              <w:top w:val="single" w:sz="4" w:space="0" w:color="000000"/>
            </w:tcBorders>
          </w:tcPr>
          <w:p w14:paraId="3907B640" w14:textId="77777777" w:rsidR="005E08D7" w:rsidRPr="005C3CE4" w:rsidRDefault="005E08D7" w:rsidP="00BA7923">
            <w:pPr>
              <w:spacing w:before="0" w:after="0" w:line="240" w:lineRule="auto"/>
            </w:pPr>
            <w:r w:rsidRPr="005C3CE4">
              <w:t>Men</w:t>
            </w:r>
          </w:p>
        </w:tc>
        <w:tc>
          <w:tcPr>
            <w:tcW w:w="776" w:type="pct"/>
            <w:tcBorders>
              <w:top w:val="single" w:sz="4" w:space="0" w:color="000000"/>
            </w:tcBorders>
          </w:tcPr>
          <w:p w14:paraId="77E78619" w14:textId="77777777" w:rsidR="005E08D7" w:rsidRPr="005C3CE4" w:rsidRDefault="005E08D7" w:rsidP="00BA7923">
            <w:pPr>
              <w:spacing w:before="0" w:after="0" w:line="240" w:lineRule="auto"/>
              <w:jc w:val="center"/>
            </w:pPr>
            <w:r w:rsidRPr="005C3CE4">
              <w:t>46</w:t>
            </w:r>
          </w:p>
        </w:tc>
        <w:tc>
          <w:tcPr>
            <w:tcW w:w="800" w:type="pct"/>
            <w:tcBorders>
              <w:top w:val="single" w:sz="4" w:space="0" w:color="000000"/>
            </w:tcBorders>
          </w:tcPr>
          <w:p w14:paraId="08105D8E" w14:textId="77777777" w:rsidR="005E08D7" w:rsidRPr="005C3CE4" w:rsidRDefault="005E08D7" w:rsidP="00BA7923">
            <w:pPr>
              <w:spacing w:before="0" w:after="0" w:line="240" w:lineRule="auto"/>
              <w:jc w:val="center"/>
            </w:pPr>
            <w:r w:rsidRPr="005C3CE4">
              <w:t>73.02%</w:t>
            </w:r>
          </w:p>
        </w:tc>
      </w:tr>
      <w:tr w:rsidR="005E08D7" w:rsidRPr="005C3CE4" w14:paraId="1286A6D9" w14:textId="77777777" w:rsidTr="00BA7923">
        <w:tc>
          <w:tcPr>
            <w:tcW w:w="2126" w:type="pct"/>
          </w:tcPr>
          <w:p w14:paraId="4C204305" w14:textId="77777777" w:rsidR="005E08D7" w:rsidRPr="005C3CE4" w:rsidRDefault="005E08D7" w:rsidP="00BA7923">
            <w:pPr>
              <w:spacing w:before="0" w:after="0" w:line="240" w:lineRule="auto"/>
            </w:pPr>
          </w:p>
        </w:tc>
        <w:tc>
          <w:tcPr>
            <w:tcW w:w="1298" w:type="pct"/>
          </w:tcPr>
          <w:p w14:paraId="0CB80557" w14:textId="77777777" w:rsidR="005E08D7" w:rsidRPr="005C3CE4" w:rsidRDefault="005E08D7" w:rsidP="00BA7923">
            <w:pPr>
              <w:spacing w:before="0" w:after="0" w:line="240" w:lineRule="auto"/>
            </w:pPr>
            <w:r w:rsidRPr="005C3CE4">
              <w:t>Women</w:t>
            </w:r>
          </w:p>
        </w:tc>
        <w:tc>
          <w:tcPr>
            <w:tcW w:w="776" w:type="pct"/>
          </w:tcPr>
          <w:p w14:paraId="0AB18B03" w14:textId="77777777" w:rsidR="005E08D7" w:rsidRPr="005C3CE4" w:rsidRDefault="005E08D7" w:rsidP="00BA7923">
            <w:pPr>
              <w:spacing w:before="0" w:after="0" w:line="240" w:lineRule="auto"/>
              <w:jc w:val="center"/>
            </w:pPr>
            <w:r w:rsidRPr="005C3CE4">
              <w:t>17</w:t>
            </w:r>
          </w:p>
        </w:tc>
        <w:tc>
          <w:tcPr>
            <w:tcW w:w="800" w:type="pct"/>
          </w:tcPr>
          <w:p w14:paraId="582EB29A" w14:textId="77777777" w:rsidR="005E08D7" w:rsidRPr="005C3CE4" w:rsidRDefault="005E08D7" w:rsidP="00BA7923">
            <w:pPr>
              <w:spacing w:before="0" w:after="0" w:line="240" w:lineRule="auto"/>
              <w:jc w:val="center"/>
            </w:pPr>
            <w:r w:rsidRPr="005C3CE4">
              <w:t>26.98%</w:t>
            </w:r>
          </w:p>
        </w:tc>
      </w:tr>
      <w:tr w:rsidR="005E08D7" w:rsidRPr="005C3CE4" w14:paraId="6756A9D1" w14:textId="77777777" w:rsidTr="00BA7923">
        <w:tc>
          <w:tcPr>
            <w:tcW w:w="2126" w:type="pct"/>
          </w:tcPr>
          <w:p w14:paraId="52BB91B2" w14:textId="77777777" w:rsidR="005E08D7" w:rsidRPr="005C3CE4" w:rsidRDefault="005E08D7" w:rsidP="00BA7923">
            <w:pPr>
              <w:spacing w:before="0" w:after="0" w:line="240" w:lineRule="auto"/>
            </w:pPr>
            <w:r w:rsidRPr="005C3CE4">
              <w:t>School year</w:t>
            </w:r>
          </w:p>
        </w:tc>
        <w:tc>
          <w:tcPr>
            <w:tcW w:w="1298" w:type="pct"/>
          </w:tcPr>
          <w:p w14:paraId="00D142B8" w14:textId="77777777" w:rsidR="005E08D7" w:rsidRPr="005C3CE4" w:rsidRDefault="005E08D7" w:rsidP="00BA7923">
            <w:pPr>
              <w:spacing w:before="0" w:after="0" w:line="240" w:lineRule="auto"/>
            </w:pPr>
            <w:r w:rsidRPr="005C3CE4">
              <w:t>Sophomore</w:t>
            </w:r>
          </w:p>
        </w:tc>
        <w:tc>
          <w:tcPr>
            <w:tcW w:w="776" w:type="pct"/>
          </w:tcPr>
          <w:p w14:paraId="76F93347" w14:textId="77777777" w:rsidR="005E08D7" w:rsidRPr="005C3CE4" w:rsidRDefault="005E08D7" w:rsidP="00BA7923">
            <w:pPr>
              <w:spacing w:before="0" w:after="0" w:line="240" w:lineRule="auto"/>
              <w:jc w:val="center"/>
            </w:pPr>
            <w:r w:rsidRPr="005C3CE4">
              <w:t>62</w:t>
            </w:r>
          </w:p>
        </w:tc>
        <w:tc>
          <w:tcPr>
            <w:tcW w:w="800" w:type="pct"/>
          </w:tcPr>
          <w:p w14:paraId="513131F7" w14:textId="77777777" w:rsidR="005E08D7" w:rsidRPr="005C3CE4" w:rsidRDefault="005E08D7" w:rsidP="00BA7923">
            <w:pPr>
              <w:spacing w:before="0" w:after="0" w:line="240" w:lineRule="auto"/>
              <w:jc w:val="center"/>
            </w:pPr>
            <w:r w:rsidRPr="005C3CE4">
              <w:t>98.41%</w:t>
            </w:r>
          </w:p>
        </w:tc>
      </w:tr>
      <w:tr w:rsidR="005E08D7" w:rsidRPr="005C3CE4" w14:paraId="5E8AF166" w14:textId="77777777" w:rsidTr="00BA7923">
        <w:tc>
          <w:tcPr>
            <w:tcW w:w="2126" w:type="pct"/>
          </w:tcPr>
          <w:p w14:paraId="02BDB602" w14:textId="77777777" w:rsidR="005E08D7" w:rsidRPr="005C3CE4" w:rsidRDefault="005E08D7" w:rsidP="00BA7923">
            <w:pPr>
              <w:spacing w:before="0" w:after="0" w:line="240" w:lineRule="auto"/>
            </w:pPr>
          </w:p>
        </w:tc>
        <w:tc>
          <w:tcPr>
            <w:tcW w:w="1298" w:type="pct"/>
          </w:tcPr>
          <w:p w14:paraId="42FC209A" w14:textId="77777777" w:rsidR="005E08D7" w:rsidRPr="005C3CE4" w:rsidRDefault="005E08D7" w:rsidP="00BA7923">
            <w:pPr>
              <w:spacing w:before="0" w:after="0" w:line="240" w:lineRule="auto"/>
            </w:pPr>
            <w:r w:rsidRPr="005C3CE4">
              <w:t>Freshmen</w:t>
            </w:r>
          </w:p>
        </w:tc>
        <w:tc>
          <w:tcPr>
            <w:tcW w:w="776" w:type="pct"/>
          </w:tcPr>
          <w:p w14:paraId="5D7B7E6D" w14:textId="77777777" w:rsidR="005E08D7" w:rsidRPr="005C3CE4" w:rsidRDefault="005E08D7" w:rsidP="00BA7923">
            <w:pPr>
              <w:spacing w:before="0" w:after="0" w:line="240" w:lineRule="auto"/>
              <w:jc w:val="center"/>
            </w:pPr>
            <w:r w:rsidRPr="005C3CE4">
              <w:t>1</w:t>
            </w:r>
          </w:p>
        </w:tc>
        <w:tc>
          <w:tcPr>
            <w:tcW w:w="800" w:type="pct"/>
          </w:tcPr>
          <w:p w14:paraId="65ADFB34" w14:textId="77777777" w:rsidR="005E08D7" w:rsidRPr="005C3CE4" w:rsidRDefault="005E08D7" w:rsidP="00BA7923">
            <w:pPr>
              <w:spacing w:before="0" w:after="0" w:line="240" w:lineRule="auto"/>
              <w:jc w:val="center"/>
            </w:pPr>
            <w:r w:rsidRPr="005C3CE4">
              <w:t>1.59%</w:t>
            </w:r>
          </w:p>
        </w:tc>
      </w:tr>
      <w:tr w:rsidR="005E08D7" w:rsidRPr="005C3CE4" w14:paraId="39A8CC14" w14:textId="77777777" w:rsidTr="00BA7923">
        <w:tc>
          <w:tcPr>
            <w:tcW w:w="2126" w:type="pct"/>
          </w:tcPr>
          <w:p w14:paraId="135BCB65" w14:textId="77777777" w:rsidR="005E08D7" w:rsidRPr="005C3CE4" w:rsidRDefault="005E08D7" w:rsidP="00BA7923">
            <w:pPr>
              <w:spacing w:before="0" w:after="0" w:line="240" w:lineRule="auto"/>
            </w:pPr>
            <w:r w:rsidRPr="005C3CE4">
              <w:t>Player type</w:t>
            </w:r>
          </w:p>
        </w:tc>
        <w:tc>
          <w:tcPr>
            <w:tcW w:w="1298" w:type="pct"/>
          </w:tcPr>
          <w:p w14:paraId="4396A667" w14:textId="77777777" w:rsidR="005E08D7" w:rsidRPr="005C3CE4" w:rsidRDefault="005E08D7" w:rsidP="00BA7923">
            <w:pPr>
              <w:spacing w:before="0" w:after="0" w:line="240" w:lineRule="auto"/>
            </w:pPr>
            <w:r w:rsidRPr="005C3CE4">
              <w:t>Recreational</w:t>
            </w:r>
          </w:p>
        </w:tc>
        <w:tc>
          <w:tcPr>
            <w:tcW w:w="776" w:type="pct"/>
          </w:tcPr>
          <w:p w14:paraId="057A868D" w14:textId="77777777" w:rsidR="005E08D7" w:rsidRPr="005C3CE4" w:rsidRDefault="005E08D7" w:rsidP="00BA7923">
            <w:pPr>
              <w:spacing w:before="0" w:after="0" w:line="240" w:lineRule="auto"/>
              <w:jc w:val="center"/>
            </w:pPr>
            <w:r w:rsidRPr="005C3CE4">
              <w:t>62</w:t>
            </w:r>
          </w:p>
        </w:tc>
        <w:tc>
          <w:tcPr>
            <w:tcW w:w="800" w:type="pct"/>
          </w:tcPr>
          <w:p w14:paraId="48888D7D" w14:textId="77777777" w:rsidR="005E08D7" w:rsidRPr="005C3CE4" w:rsidRDefault="005E08D7" w:rsidP="00BA7923">
            <w:pPr>
              <w:spacing w:before="0" w:after="0" w:line="240" w:lineRule="auto"/>
              <w:jc w:val="center"/>
            </w:pPr>
            <w:r w:rsidRPr="005C3CE4">
              <w:t>98.41%</w:t>
            </w:r>
          </w:p>
        </w:tc>
      </w:tr>
      <w:tr w:rsidR="005E08D7" w:rsidRPr="005C3CE4" w14:paraId="7204521D" w14:textId="77777777" w:rsidTr="00BA7923">
        <w:tc>
          <w:tcPr>
            <w:tcW w:w="2126" w:type="pct"/>
          </w:tcPr>
          <w:p w14:paraId="1BA9E2AD" w14:textId="77777777" w:rsidR="005E08D7" w:rsidRPr="005C3CE4" w:rsidRDefault="005E08D7" w:rsidP="00BA7923">
            <w:pPr>
              <w:spacing w:before="0" w:after="0" w:line="240" w:lineRule="auto"/>
            </w:pPr>
          </w:p>
        </w:tc>
        <w:tc>
          <w:tcPr>
            <w:tcW w:w="1298" w:type="pct"/>
          </w:tcPr>
          <w:p w14:paraId="5F69BE4B" w14:textId="77777777" w:rsidR="005E08D7" w:rsidRPr="005C3CE4" w:rsidRDefault="005E08D7" w:rsidP="00BA7923">
            <w:pPr>
              <w:spacing w:before="0" w:after="0" w:line="240" w:lineRule="auto"/>
            </w:pPr>
            <w:r w:rsidRPr="005C3CE4">
              <w:t>Semi-professional</w:t>
            </w:r>
          </w:p>
        </w:tc>
        <w:tc>
          <w:tcPr>
            <w:tcW w:w="776" w:type="pct"/>
          </w:tcPr>
          <w:p w14:paraId="76B62CF8" w14:textId="77777777" w:rsidR="005E08D7" w:rsidRPr="005C3CE4" w:rsidRDefault="005E08D7" w:rsidP="00BA7923">
            <w:pPr>
              <w:spacing w:before="0" w:after="0" w:line="240" w:lineRule="auto"/>
              <w:jc w:val="center"/>
            </w:pPr>
            <w:r w:rsidRPr="005C3CE4">
              <w:t>1</w:t>
            </w:r>
          </w:p>
        </w:tc>
        <w:tc>
          <w:tcPr>
            <w:tcW w:w="800" w:type="pct"/>
          </w:tcPr>
          <w:p w14:paraId="45E80B3F" w14:textId="77777777" w:rsidR="005E08D7" w:rsidRPr="005C3CE4" w:rsidRDefault="005E08D7" w:rsidP="00BA7923">
            <w:pPr>
              <w:spacing w:before="0" w:after="0" w:line="240" w:lineRule="auto"/>
              <w:jc w:val="center"/>
            </w:pPr>
            <w:r w:rsidRPr="005C3CE4">
              <w:t>1.59%</w:t>
            </w:r>
          </w:p>
        </w:tc>
      </w:tr>
      <w:tr w:rsidR="005E08D7" w:rsidRPr="005C3CE4" w14:paraId="1B3AB421" w14:textId="77777777" w:rsidTr="00BA7923">
        <w:tc>
          <w:tcPr>
            <w:tcW w:w="2126" w:type="pct"/>
          </w:tcPr>
          <w:p w14:paraId="2ACF27C2" w14:textId="77777777" w:rsidR="005E08D7" w:rsidRPr="005C3CE4" w:rsidRDefault="005E08D7" w:rsidP="00BA7923">
            <w:pPr>
              <w:spacing w:before="0" w:after="0" w:line="240" w:lineRule="auto"/>
            </w:pPr>
            <w:proofErr w:type="spellStart"/>
            <w:r w:rsidRPr="005C3CE4">
              <w:t>Esport</w:t>
            </w:r>
            <w:proofErr w:type="spellEnd"/>
            <w:r w:rsidRPr="005C3CE4">
              <w:t xml:space="preserve"> genre </w:t>
            </w:r>
          </w:p>
        </w:tc>
        <w:tc>
          <w:tcPr>
            <w:tcW w:w="1298" w:type="pct"/>
          </w:tcPr>
          <w:p w14:paraId="683515D1" w14:textId="77777777" w:rsidR="005E08D7" w:rsidRPr="005C3CE4" w:rsidRDefault="005E08D7" w:rsidP="00BA7923">
            <w:pPr>
              <w:spacing w:before="0" w:after="0" w:line="240" w:lineRule="auto"/>
            </w:pPr>
            <w:r w:rsidRPr="005C3CE4">
              <w:t>Honor of Kings</w:t>
            </w:r>
          </w:p>
        </w:tc>
        <w:tc>
          <w:tcPr>
            <w:tcW w:w="776" w:type="pct"/>
          </w:tcPr>
          <w:p w14:paraId="5792D2AF" w14:textId="77777777" w:rsidR="005E08D7" w:rsidRPr="005C3CE4" w:rsidRDefault="005E08D7" w:rsidP="00BA7923">
            <w:pPr>
              <w:spacing w:before="0" w:after="0" w:line="240" w:lineRule="auto"/>
              <w:jc w:val="center"/>
            </w:pPr>
            <w:r w:rsidRPr="005C3CE4">
              <w:t>51</w:t>
            </w:r>
          </w:p>
        </w:tc>
        <w:tc>
          <w:tcPr>
            <w:tcW w:w="800" w:type="pct"/>
          </w:tcPr>
          <w:p w14:paraId="36A962A9" w14:textId="77777777" w:rsidR="005E08D7" w:rsidRPr="005C3CE4" w:rsidRDefault="005E08D7" w:rsidP="00BA7923">
            <w:pPr>
              <w:spacing w:before="0" w:after="0" w:line="240" w:lineRule="auto"/>
              <w:jc w:val="center"/>
            </w:pPr>
            <w:r w:rsidRPr="005C3CE4">
              <w:t>80.95%</w:t>
            </w:r>
          </w:p>
        </w:tc>
      </w:tr>
      <w:tr w:rsidR="005E08D7" w:rsidRPr="005C3CE4" w14:paraId="4601D269" w14:textId="77777777" w:rsidTr="00BA7923">
        <w:tc>
          <w:tcPr>
            <w:tcW w:w="2126" w:type="pct"/>
          </w:tcPr>
          <w:p w14:paraId="361D1B73" w14:textId="77777777" w:rsidR="005E08D7" w:rsidRPr="005C3CE4" w:rsidRDefault="005E08D7" w:rsidP="00BA7923">
            <w:pPr>
              <w:spacing w:before="0" w:after="0" w:line="240" w:lineRule="auto"/>
            </w:pPr>
          </w:p>
        </w:tc>
        <w:tc>
          <w:tcPr>
            <w:tcW w:w="1298" w:type="pct"/>
          </w:tcPr>
          <w:p w14:paraId="15B2CCDE" w14:textId="77777777" w:rsidR="005E08D7" w:rsidRPr="005C3CE4" w:rsidRDefault="005E08D7" w:rsidP="00BA7923">
            <w:pPr>
              <w:spacing w:before="0" w:after="0" w:line="240" w:lineRule="auto"/>
            </w:pPr>
            <w:r w:rsidRPr="005C3CE4">
              <w:t>League of Legends</w:t>
            </w:r>
          </w:p>
        </w:tc>
        <w:tc>
          <w:tcPr>
            <w:tcW w:w="776" w:type="pct"/>
          </w:tcPr>
          <w:p w14:paraId="076A1C12" w14:textId="77777777" w:rsidR="005E08D7" w:rsidRPr="005C3CE4" w:rsidRDefault="005E08D7" w:rsidP="00BA7923">
            <w:pPr>
              <w:spacing w:before="0" w:after="0" w:line="240" w:lineRule="auto"/>
              <w:jc w:val="center"/>
            </w:pPr>
            <w:r w:rsidRPr="005C3CE4">
              <w:t>21</w:t>
            </w:r>
          </w:p>
        </w:tc>
        <w:tc>
          <w:tcPr>
            <w:tcW w:w="800" w:type="pct"/>
          </w:tcPr>
          <w:p w14:paraId="0CC39397" w14:textId="77777777" w:rsidR="005E08D7" w:rsidRPr="005C3CE4" w:rsidRDefault="005E08D7" w:rsidP="00BA7923">
            <w:pPr>
              <w:spacing w:before="0" w:after="0" w:line="240" w:lineRule="auto"/>
              <w:jc w:val="center"/>
            </w:pPr>
            <w:r w:rsidRPr="005C3CE4">
              <w:t>33.33%</w:t>
            </w:r>
          </w:p>
        </w:tc>
      </w:tr>
      <w:tr w:rsidR="005E08D7" w:rsidRPr="005C3CE4" w14:paraId="76574DE0" w14:textId="77777777" w:rsidTr="00BA7923">
        <w:tc>
          <w:tcPr>
            <w:tcW w:w="2126" w:type="pct"/>
          </w:tcPr>
          <w:p w14:paraId="4EF1D5B8" w14:textId="77777777" w:rsidR="005E08D7" w:rsidRPr="005C3CE4" w:rsidRDefault="005E08D7" w:rsidP="00BA7923">
            <w:pPr>
              <w:spacing w:before="0" w:after="0" w:line="240" w:lineRule="auto"/>
            </w:pPr>
          </w:p>
        </w:tc>
        <w:tc>
          <w:tcPr>
            <w:tcW w:w="1298" w:type="pct"/>
          </w:tcPr>
          <w:p w14:paraId="2EA0C9F0" w14:textId="77777777" w:rsidR="005E08D7" w:rsidRPr="005C3CE4" w:rsidRDefault="005E08D7" w:rsidP="00BA7923">
            <w:pPr>
              <w:spacing w:before="0" w:after="0" w:line="240" w:lineRule="auto"/>
            </w:pPr>
            <w:r w:rsidRPr="005C3CE4">
              <w:t>Game for Peace</w:t>
            </w:r>
          </w:p>
        </w:tc>
        <w:tc>
          <w:tcPr>
            <w:tcW w:w="776" w:type="pct"/>
          </w:tcPr>
          <w:p w14:paraId="696FCAB6" w14:textId="77777777" w:rsidR="005E08D7" w:rsidRPr="005C3CE4" w:rsidRDefault="005E08D7" w:rsidP="00BA7923">
            <w:pPr>
              <w:spacing w:before="0" w:after="0" w:line="240" w:lineRule="auto"/>
              <w:jc w:val="center"/>
            </w:pPr>
            <w:r w:rsidRPr="005C3CE4">
              <w:t>5</w:t>
            </w:r>
          </w:p>
        </w:tc>
        <w:tc>
          <w:tcPr>
            <w:tcW w:w="800" w:type="pct"/>
          </w:tcPr>
          <w:p w14:paraId="00C08FBF" w14:textId="77777777" w:rsidR="005E08D7" w:rsidRPr="005C3CE4" w:rsidRDefault="005E08D7" w:rsidP="00BA7923">
            <w:pPr>
              <w:spacing w:before="0" w:after="0" w:line="240" w:lineRule="auto"/>
              <w:jc w:val="center"/>
            </w:pPr>
            <w:r w:rsidRPr="005C3CE4">
              <w:t>7.94%</w:t>
            </w:r>
          </w:p>
        </w:tc>
      </w:tr>
      <w:tr w:rsidR="005E08D7" w:rsidRPr="005C3CE4" w14:paraId="5E9E7505" w14:textId="77777777" w:rsidTr="00BA7923">
        <w:tc>
          <w:tcPr>
            <w:tcW w:w="2126" w:type="pct"/>
          </w:tcPr>
          <w:p w14:paraId="0E539320" w14:textId="77777777" w:rsidR="005E08D7" w:rsidRPr="005C3CE4" w:rsidRDefault="005E08D7" w:rsidP="00BA7923">
            <w:pPr>
              <w:spacing w:before="0" w:after="0" w:line="240" w:lineRule="auto"/>
            </w:pPr>
          </w:p>
        </w:tc>
        <w:tc>
          <w:tcPr>
            <w:tcW w:w="1298" w:type="pct"/>
          </w:tcPr>
          <w:p w14:paraId="373FDE4F" w14:textId="77777777" w:rsidR="005E08D7" w:rsidRPr="005C3CE4" w:rsidRDefault="005E08D7" w:rsidP="00BA7923">
            <w:pPr>
              <w:spacing w:before="0" w:after="0" w:line="240" w:lineRule="auto"/>
            </w:pPr>
            <w:r w:rsidRPr="005C3CE4">
              <w:t>CS Go</w:t>
            </w:r>
          </w:p>
        </w:tc>
        <w:tc>
          <w:tcPr>
            <w:tcW w:w="776" w:type="pct"/>
          </w:tcPr>
          <w:p w14:paraId="28405292" w14:textId="77777777" w:rsidR="005E08D7" w:rsidRPr="005C3CE4" w:rsidRDefault="005E08D7" w:rsidP="00BA7923">
            <w:pPr>
              <w:spacing w:before="0" w:after="0" w:line="240" w:lineRule="auto"/>
              <w:jc w:val="center"/>
            </w:pPr>
            <w:r w:rsidRPr="005C3CE4">
              <w:t>2</w:t>
            </w:r>
          </w:p>
        </w:tc>
        <w:tc>
          <w:tcPr>
            <w:tcW w:w="800" w:type="pct"/>
          </w:tcPr>
          <w:p w14:paraId="46AC64A9" w14:textId="77777777" w:rsidR="005E08D7" w:rsidRPr="005C3CE4" w:rsidRDefault="005E08D7" w:rsidP="00BA7923">
            <w:pPr>
              <w:spacing w:before="0" w:after="0" w:line="240" w:lineRule="auto"/>
              <w:jc w:val="center"/>
            </w:pPr>
            <w:r w:rsidRPr="005C3CE4">
              <w:t>3.17%</w:t>
            </w:r>
          </w:p>
        </w:tc>
      </w:tr>
      <w:tr w:rsidR="005E08D7" w:rsidRPr="005C3CE4" w14:paraId="3339E396" w14:textId="77777777" w:rsidTr="00BA7923">
        <w:tc>
          <w:tcPr>
            <w:tcW w:w="2126" w:type="pct"/>
          </w:tcPr>
          <w:p w14:paraId="7FFC218C" w14:textId="77777777" w:rsidR="005E08D7" w:rsidRPr="005C3CE4" w:rsidRDefault="005E08D7" w:rsidP="00BA7923">
            <w:pPr>
              <w:spacing w:before="0" w:after="0" w:line="240" w:lineRule="auto"/>
            </w:pPr>
          </w:p>
        </w:tc>
        <w:tc>
          <w:tcPr>
            <w:tcW w:w="1298" w:type="pct"/>
          </w:tcPr>
          <w:p w14:paraId="069FE4CF" w14:textId="77777777" w:rsidR="005E08D7" w:rsidRPr="005C3CE4" w:rsidRDefault="005E08D7" w:rsidP="00BA7923">
            <w:pPr>
              <w:spacing w:before="0" w:after="0" w:line="240" w:lineRule="auto"/>
            </w:pPr>
            <w:r w:rsidRPr="005C3CE4">
              <w:t>Cross Fire</w:t>
            </w:r>
          </w:p>
        </w:tc>
        <w:tc>
          <w:tcPr>
            <w:tcW w:w="776" w:type="pct"/>
          </w:tcPr>
          <w:p w14:paraId="3F1990DF" w14:textId="77777777" w:rsidR="005E08D7" w:rsidRPr="005C3CE4" w:rsidRDefault="005E08D7" w:rsidP="00BA7923">
            <w:pPr>
              <w:spacing w:before="0" w:after="0" w:line="240" w:lineRule="auto"/>
              <w:jc w:val="center"/>
            </w:pPr>
            <w:r w:rsidRPr="005C3CE4">
              <w:t>1</w:t>
            </w:r>
          </w:p>
        </w:tc>
        <w:tc>
          <w:tcPr>
            <w:tcW w:w="800" w:type="pct"/>
          </w:tcPr>
          <w:p w14:paraId="52D79347" w14:textId="77777777" w:rsidR="005E08D7" w:rsidRPr="005C3CE4" w:rsidRDefault="005E08D7" w:rsidP="00BA7923">
            <w:pPr>
              <w:spacing w:before="0" w:after="0" w:line="240" w:lineRule="auto"/>
              <w:jc w:val="center"/>
            </w:pPr>
            <w:r w:rsidRPr="005C3CE4">
              <w:t>1.59%</w:t>
            </w:r>
          </w:p>
        </w:tc>
      </w:tr>
      <w:tr w:rsidR="005E08D7" w:rsidRPr="005C3CE4" w14:paraId="6060054B" w14:textId="77777777" w:rsidTr="00BA7923">
        <w:tc>
          <w:tcPr>
            <w:tcW w:w="2126" w:type="pct"/>
          </w:tcPr>
          <w:p w14:paraId="4EDCAE55" w14:textId="77777777" w:rsidR="005E08D7" w:rsidRPr="005C3CE4" w:rsidRDefault="005E08D7" w:rsidP="00BA7923">
            <w:pPr>
              <w:spacing w:before="0" w:after="0" w:line="240" w:lineRule="auto"/>
            </w:pPr>
          </w:p>
        </w:tc>
        <w:tc>
          <w:tcPr>
            <w:tcW w:w="1298" w:type="pct"/>
          </w:tcPr>
          <w:p w14:paraId="0318DF9B" w14:textId="77777777" w:rsidR="005E08D7" w:rsidRPr="005C3CE4" w:rsidRDefault="005E08D7" w:rsidP="00BA7923">
            <w:pPr>
              <w:spacing w:before="0" w:after="0" w:line="240" w:lineRule="auto"/>
            </w:pPr>
            <w:r w:rsidRPr="005C3CE4">
              <w:t xml:space="preserve">Battle Field </w:t>
            </w:r>
            <w:r w:rsidRPr="005C3CE4">
              <w:rPr>
                <w:lang w:val="el-GR"/>
              </w:rPr>
              <w:t>5</w:t>
            </w:r>
          </w:p>
        </w:tc>
        <w:tc>
          <w:tcPr>
            <w:tcW w:w="776" w:type="pct"/>
          </w:tcPr>
          <w:p w14:paraId="6C46DFEC" w14:textId="77777777" w:rsidR="005E08D7" w:rsidRPr="005C3CE4" w:rsidRDefault="005E08D7" w:rsidP="00BA7923">
            <w:pPr>
              <w:spacing w:before="0" w:after="0" w:line="240" w:lineRule="auto"/>
              <w:jc w:val="center"/>
            </w:pPr>
            <w:r w:rsidRPr="005C3CE4">
              <w:t>1</w:t>
            </w:r>
          </w:p>
        </w:tc>
        <w:tc>
          <w:tcPr>
            <w:tcW w:w="800" w:type="pct"/>
          </w:tcPr>
          <w:p w14:paraId="76095DCA" w14:textId="77777777" w:rsidR="005E08D7" w:rsidRPr="005C3CE4" w:rsidRDefault="005E08D7" w:rsidP="00BA7923">
            <w:pPr>
              <w:spacing w:before="0" w:after="0" w:line="240" w:lineRule="auto"/>
              <w:jc w:val="center"/>
            </w:pPr>
            <w:r w:rsidRPr="005C3CE4">
              <w:t>1.59%</w:t>
            </w:r>
          </w:p>
        </w:tc>
      </w:tr>
      <w:tr w:rsidR="005E08D7" w:rsidRPr="005C3CE4" w14:paraId="160C0CD8" w14:textId="77777777" w:rsidTr="00BA7923">
        <w:tc>
          <w:tcPr>
            <w:tcW w:w="2126" w:type="pct"/>
          </w:tcPr>
          <w:p w14:paraId="5EB7F246" w14:textId="77777777" w:rsidR="005E08D7" w:rsidRPr="005C3CE4" w:rsidRDefault="005E08D7" w:rsidP="00BA7923">
            <w:pPr>
              <w:spacing w:before="0" w:after="0" w:line="240" w:lineRule="auto"/>
            </w:pPr>
          </w:p>
        </w:tc>
        <w:tc>
          <w:tcPr>
            <w:tcW w:w="1298" w:type="pct"/>
          </w:tcPr>
          <w:p w14:paraId="51D65413" w14:textId="77777777" w:rsidR="005E08D7" w:rsidRPr="005C3CE4" w:rsidRDefault="005E08D7" w:rsidP="00BA7923">
            <w:pPr>
              <w:spacing w:before="0" w:after="0" w:line="240" w:lineRule="auto"/>
            </w:pPr>
            <w:r w:rsidRPr="005C3CE4">
              <w:t>Call of Duty</w:t>
            </w:r>
          </w:p>
        </w:tc>
        <w:tc>
          <w:tcPr>
            <w:tcW w:w="776" w:type="pct"/>
          </w:tcPr>
          <w:p w14:paraId="26644548" w14:textId="77777777" w:rsidR="005E08D7" w:rsidRPr="005C3CE4" w:rsidRDefault="005E08D7" w:rsidP="00BA7923">
            <w:pPr>
              <w:spacing w:before="0" w:after="0" w:line="240" w:lineRule="auto"/>
              <w:jc w:val="center"/>
            </w:pPr>
            <w:r w:rsidRPr="005C3CE4">
              <w:t>1</w:t>
            </w:r>
          </w:p>
        </w:tc>
        <w:tc>
          <w:tcPr>
            <w:tcW w:w="800" w:type="pct"/>
          </w:tcPr>
          <w:p w14:paraId="6FC28F9A" w14:textId="77777777" w:rsidR="005E08D7" w:rsidRPr="005C3CE4" w:rsidRDefault="005E08D7" w:rsidP="00BA7923">
            <w:pPr>
              <w:spacing w:before="0" w:after="0" w:line="240" w:lineRule="auto"/>
              <w:jc w:val="center"/>
            </w:pPr>
            <w:r w:rsidRPr="005C3CE4">
              <w:t>1.59%</w:t>
            </w:r>
          </w:p>
        </w:tc>
      </w:tr>
      <w:tr w:rsidR="005E08D7" w:rsidRPr="005C3CE4" w14:paraId="228F2F72" w14:textId="77777777" w:rsidTr="00BA7923">
        <w:tc>
          <w:tcPr>
            <w:tcW w:w="2126" w:type="pct"/>
          </w:tcPr>
          <w:p w14:paraId="675584B8" w14:textId="77777777" w:rsidR="005E08D7" w:rsidRPr="005C3CE4" w:rsidRDefault="005E08D7" w:rsidP="00BA7923">
            <w:pPr>
              <w:spacing w:before="0" w:after="0" w:line="240" w:lineRule="auto"/>
            </w:pPr>
          </w:p>
        </w:tc>
        <w:tc>
          <w:tcPr>
            <w:tcW w:w="1298" w:type="pct"/>
          </w:tcPr>
          <w:p w14:paraId="56D18745" w14:textId="77777777" w:rsidR="005E08D7" w:rsidRPr="005C3CE4" w:rsidRDefault="005E08D7" w:rsidP="00BA7923">
            <w:pPr>
              <w:spacing w:before="0" w:after="0" w:line="240" w:lineRule="auto"/>
            </w:pPr>
            <w:r w:rsidRPr="005C3CE4">
              <w:t>Brawl Stars</w:t>
            </w:r>
          </w:p>
        </w:tc>
        <w:tc>
          <w:tcPr>
            <w:tcW w:w="776" w:type="pct"/>
          </w:tcPr>
          <w:p w14:paraId="3F3F48A5" w14:textId="77777777" w:rsidR="005E08D7" w:rsidRPr="005C3CE4" w:rsidRDefault="005E08D7" w:rsidP="00BA7923">
            <w:pPr>
              <w:spacing w:before="0" w:after="0" w:line="240" w:lineRule="auto"/>
              <w:jc w:val="center"/>
            </w:pPr>
            <w:r w:rsidRPr="005C3CE4">
              <w:t>1</w:t>
            </w:r>
          </w:p>
        </w:tc>
        <w:tc>
          <w:tcPr>
            <w:tcW w:w="800" w:type="pct"/>
          </w:tcPr>
          <w:p w14:paraId="79D2AEF7" w14:textId="77777777" w:rsidR="005E08D7" w:rsidRPr="005C3CE4" w:rsidRDefault="005E08D7" w:rsidP="00BA7923">
            <w:pPr>
              <w:spacing w:before="0" w:after="0" w:line="240" w:lineRule="auto"/>
              <w:jc w:val="center"/>
            </w:pPr>
            <w:r w:rsidRPr="005C3CE4">
              <w:t>1.59%</w:t>
            </w:r>
          </w:p>
        </w:tc>
      </w:tr>
      <w:tr w:rsidR="005E08D7" w:rsidRPr="005C3CE4" w14:paraId="08A65BBD" w14:textId="77777777" w:rsidTr="00BA7923">
        <w:tc>
          <w:tcPr>
            <w:tcW w:w="2126" w:type="pct"/>
          </w:tcPr>
          <w:p w14:paraId="6A1BE9AD" w14:textId="77777777" w:rsidR="005E08D7" w:rsidRPr="005C3CE4" w:rsidRDefault="005E08D7" w:rsidP="00BA7923">
            <w:pPr>
              <w:spacing w:before="0" w:after="0" w:line="240" w:lineRule="auto"/>
            </w:pPr>
          </w:p>
        </w:tc>
        <w:tc>
          <w:tcPr>
            <w:tcW w:w="1298" w:type="pct"/>
          </w:tcPr>
          <w:p w14:paraId="4BE073B4" w14:textId="77777777" w:rsidR="005E08D7" w:rsidRPr="005C3CE4" w:rsidRDefault="005E08D7" w:rsidP="00BA7923">
            <w:pPr>
              <w:spacing w:before="0" w:after="0" w:line="240" w:lineRule="auto"/>
            </w:pPr>
          </w:p>
        </w:tc>
        <w:tc>
          <w:tcPr>
            <w:tcW w:w="776" w:type="pct"/>
            <w:tcBorders>
              <w:bottom w:val="single" w:sz="4" w:space="0" w:color="000000"/>
            </w:tcBorders>
          </w:tcPr>
          <w:p w14:paraId="7CC3A2C5" w14:textId="77777777" w:rsidR="005E08D7" w:rsidRPr="005C3CE4" w:rsidRDefault="005E08D7" w:rsidP="00BA7923">
            <w:pPr>
              <w:spacing w:before="0" w:after="0" w:line="240" w:lineRule="auto"/>
              <w:jc w:val="center"/>
            </w:pPr>
            <w:r w:rsidRPr="005C3CE4">
              <w:t>Mean</w:t>
            </w:r>
          </w:p>
        </w:tc>
        <w:tc>
          <w:tcPr>
            <w:tcW w:w="800" w:type="pct"/>
            <w:tcBorders>
              <w:bottom w:val="single" w:sz="4" w:space="0" w:color="000000"/>
            </w:tcBorders>
          </w:tcPr>
          <w:p w14:paraId="78484C5C" w14:textId="77777777" w:rsidR="005E08D7" w:rsidRPr="008C2337" w:rsidRDefault="005E08D7" w:rsidP="00BA7923">
            <w:pPr>
              <w:spacing w:before="0" w:after="0" w:line="240" w:lineRule="auto"/>
              <w:jc w:val="center"/>
              <w:rPr>
                <w:i/>
                <w:iCs/>
              </w:rPr>
            </w:pPr>
            <w:r w:rsidRPr="008C2337">
              <w:rPr>
                <w:i/>
                <w:iCs/>
              </w:rPr>
              <w:t>SD</w:t>
            </w:r>
          </w:p>
        </w:tc>
      </w:tr>
      <w:tr w:rsidR="005E08D7" w:rsidRPr="005C3CE4" w14:paraId="533CB5C7" w14:textId="77777777" w:rsidTr="00BA7923">
        <w:tc>
          <w:tcPr>
            <w:tcW w:w="2126" w:type="pct"/>
          </w:tcPr>
          <w:p w14:paraId="711A0DF1" w14:textId="594A5216" w:rsidR="005E08D7" w:rsidRPr="005C3CE4" w:rsidRDefault="005E08D7" w:rsidP="00BA7923">
            <w:pPr>
              <w:spacing w:before="0" w:after="0" w:line="240" w:lineRule="auto"/>
            </w:pPr>
            <w:r w:rsidRPr="005C3CE4">
              <w:t>Age</w:t>
            </w:r>
            <w:r w:rsidR="00570B44">
              <w:t xml:space="preserve"> (years)</w:t>
            </w:r>
          </w:p>
        </w:tc>
        <w:tc>
          <w:tcPr>
            <w:tcW w:w="1298" w:type="pct"/>
          </w:tcPr>
          <w:p w14:paraId="0F95BDCE" w14:textId="77777777" w:rsidR="005E08D7" w:rsidRPr="005C3CE4" w:rsidRDefault="005E08D7" w:rsidP="00BA7923">
            <w:pPr>
              <w:spacing w:before="0" w:after="0" w:line="240" w:lineRule="auto"/>
            </w:pPr>
          </w:p>
        </w:tc>
        <w:tc>
          <w:tcPr>
            <w:tcW w:w="776" w:type="pct"/>
            <w:tcBorders>
              <w:top w:val="single" w:sz="4" w:space="0" w:color="000000"/>
            </w:tcBorders>
          </w:tcPr>
          <w:p w14:paraId="7E9F46FF" w14:textId="77777777" w:rsidR="005E08D7" w:rsidRPr="005C3CE4" w:rsidRDefault="005E08D7" w:rsidP="00BA7923">
            <w:pPr>
              <w:spacing w:before="0" w:after="0" w:line="240" w:lineRule="auto"/>
              <w:jc w:val="center"/>
            </w:pPr>
            <w:r w:rsidRPr="005C3CE4">
              <w:t>19.65</w:t>
            </w:r>
          </w:p>
        </w:tc>
        <w:tc>
          <w:tcPr>
            <w:tcW w:w="800" w:type="pct"/>
            <w:tcBorders>
              <w:top w:val="single" w:sz="4" w:space="0" w:color="000000"/>
            </w:tcBorders>
          </w:tcPr>
          <w:p w14:paraId="3F73A98F" w14:textId="77777777" w:rsidR="005E08D7" w:rsidRPr="005C3CE4" w:rsidRDefault="005E08D7" w:rsidP="00BA7923">
            <w:pPr>
              <w:spacing w:before="0" w:after="0" w:line="240" w:lineRule="auto"/>
              <w:jc w:val="center"/>
            </w:pPr>
            <w:r w:rsidRPr="005C3CE4">
              <w:t>1.05</w:t>
            </w:r>
          </w:p>
        </w:tc>
      </w:tr>
      <w:tr w:rsidR="005E08D7" w:rsidRPr="005C3CE4" w14:paraId="26A7A0CA" w14:textId="77777777" w:rsidTr="00BA7923">
        <w:tc>
          <w:tcPr>
            <w:tcW w:w="2126" w:type="pct"/>
          </w:tcPr>
          <w:p w14:paraId="5B168389" w14:textId="77777777" w:rsidR="005E08D7" w:rsidRPr="005C3CE4" w:rsidRDefault="005E08D7" w:rsidP="00BA7923">
            <w:pPr>
              <w:spacing w:before="0" w:after="0" w:line="240" w:lineRule="auto"/>
            </w:pPr>
            <w:r w:rsidRPr="005C3CE4">
              <w:t>Playing online with friends</w:t>
            </w:r>
          </w:p>
        </w:tc>
        <w:tc>
          <w:tcPr>
            <w:tcW w:w="1298" w:type="pct"/>
          </w:tcPr>
          <w:p w14:paraId="09C0FC5C" w14:textId="77777777" w:rsidR="005E08D7" w:rsidRPr="005C3CE4" w:rsidRDefault="005E08D7" w:rsidP="00BA7923">
            <w:pPr>
              <w:spacing w:before="0" w:after="0" w:line="240" w:lineRule="auto"/>
            </w:pPr>
          </w:p>
        </w:tc>
        <w:tc>
          <w:tcPr>
            <w:tcW w:w="776" w:type="pct"/>
          </w:tcPr>
          <w:p w14:paraId="4B9E03E1" w14:textId="77777777" w:rsidR="005E08D7" w:rsidRPr="005C3CE4" w:rsidRDefault="005E08D7" w:rsidP="00BA7923">
            <w:pPr>
              <w:spacing w:before="0" w:after="0" w:line="240" w:lineRule="auto"/>
              <w:jc w:val="center"/>
            </w:pPr>
            <w:r w:rsidRPr="005C3CE4">
              <w:t>2.94</w:t>
            </w:r>
          </w:p>
        </w:tc>
        <w:tc>
          <w:tcPr>
            <w:tcW w:w="800" w:type="pct"/>
          </w:tcPr>
          <w:p w14:paraId="080799E5" w14:textId="77777777" w:rsidR="005E08D7" w:rsidRPr="005C3CE4" w:rsidRDefault="005E08D7" w:rsidP="00BA7923">
            <w:pPr>
              <w:spacing w:before="0" w:after="0" w:line="240" w:lineRule="auto"/>
              <w:jc w:val="center"/>
            </w:pPr>
            <w:r w:rsidRPr="005C3CE4">
              <w:t>0.47</w:t>
            </w:r>
          </w:p>
        </w:tc>
      </w:tr>
      <w:tr w:rsidR="005E08D7" w:rsidRPr="005C3CE4" w14:paraId="768BA092" w14:textId="77777777" w:rsidTr="00BA7923">
        <w:tc>
          <w:tcPr>
            <w:tcW w:w="2126" w:type="pct"/>
          </w:tcPr>
          <w:p w14:paraId="07D01A83" w14:textId="77777777" w:rsidR="005E08D7" w:rsidRPr="005C3CE4" w:rsidRDefault="005E08D7" w:rsidP="00BA7923">
            <w:pPr>
              <w:spacing w:before="0" w:after="0" w:line="240" w:lineRule="auto"/>
            </w:pPr>
            <w:r w:rsidRPr="005C3CE4">
              <w:t>Playing face-to-face with friends</w:t>
            </w:r>
          </w:p>
        </w:tc>
        <w:tc>
          <w:tcPr>
            <w:tcW w:w="1298" w:type="pct"/>
          </w:tcPr>
          <w:p w14:paraId="5595BEBF" w14:textId="77777777" w:rsidR="005E08D7" w:rsidRPr="005C3CE4" w:rsidRDefault="005E08D7" w:rsidP="00BA7923">
            <w:pPr>
              <w:spacing w:before="0" w:after="0" w:line="240" w:lineRule="auto"/>
            </w:pPr>
          </w:p>
        </w:tc>
        <w:tc>
          <w:tcPr>
            <w:tcW w:w="776" w:type="pct"/>
          </w:tcPr>
          <w:p w14:paraId="6CC39733" w14:textId="77777777" w:rsidR="005E08D7" w:rsidRPr="005C3CE4" w:rsidRDefault="005E08D7" w:rsidP="00BA7923">
            <w:pPr>
              <w:spacing w:before="0" w:after="0" w:line="240" w:lineRule="auto"/>
              <w:jc w:val="center"/>
            </w:pPr>
            <w:r w:rsidRPr="005C3CE4">
              <w:t>2.81</w:t>
            </w:r>
          </w:p>
        </w:tc>
        <w:tc>
          <w:tcPr>
            <w:tcW w:w="800" w:type="pct"/>
          </w:tcPr>
          <w:p w14:paraId="268C7C5C" w14:textId="77777777" w:rsidR="005E08D7" w:rsidRPr="005C3CE4" w:rsidRDefault="005E08D7" w:rsidP="00BA7923">
            <w:pPr>
              <w:spacing w:before="0" w:after="0" w:line="240" w:lineRule="auto"/>
              <w:jc w:val="center"/>
            </w:pPr>
            <w:r w:rsidRPr="005C3CE4">
              <w:t>0.47</w:t>
            </w:r>
          </w:p>
        </w:tc>
      </w:tr>
      <w:tr w:rsidR="005E08D7" w:rsidRPr="005C3CE4" w14:paraId="6C39D0C6" w14:textId="77777777" w:rsidTr="0053591B">
        <w:tc>
          <w:tcPr>
            <w:tcW w:w="2126" w:type="pct"/>
          </w:tcPr>
          <w:p w14:paraId="659C085C" w14:textId="7CAAEE90" w:rsidR="005E08D7" w:rsidRPr="005C3CE4" w:rsidRDefault="005D5CDC" w:rsidP="00BA7923">
            <w:pPr>
              <w:spacing w:before="0" w:after="0" w:line="240" w:lineRule="auto"/>
            </w:pPr>
            <w:r>
              <w:t>N</w:t>
            </w:r>
            <w:r w:rsidR="00C7748A" w:rsidRPr="00C7748A">
              <w:t xml:space="preserve">umber of years playing </w:t>
            </w:r>
            <w:proofErr w:type="spellStart"/>
            <w:r w:rsidR="00C7748A" w:rsidRPr="00C7748A">
              <w:t>esport</w:t>
            </w:r>
            <w:proofErr w:type="spellEnd"/>
          </w:p>
        </w:tc>
        <w:tc>
          <w:tcPr>
            <w:tcW w:w="1298" w:type="pct"/>
          </w:tcPr>
          <w:p w14:paraId="2DF98D10" w14:textId="77777777" w:rsidR="005E08D7" w:rsidRPr="005C3CE4" w:rsidRDefault="005E08D7" w:rsidP="00BA7923">
            <w:pPr>
              <w:spacing w:before="0" w:after="0" w:line="240" w:lineRule="auto"/>
            </w:pPr>
          </w:p>
        </w:tc>
        <w:tc>
          <w:tcPr>
            <w:tcW w:w="776" w:type="pct"/>
          </w:tcPr>
          <w:p w14:paraId="59A557E8" w14:textId="77777777" w:rsidR="005E08D7" w:rsidRPr="005C3CE4" w:rsidRDefault="005E08D7" w:rsidP="00BA7923">
            <w:pPr>
              <w:spacing w:before="0" w:after="0" w:line="240" w:lineRule="auto"/>
              <w:jc w:val="center"/>
            </w:pPr>
            <w:r w:rsidRPr="005C3CE4">
              <w:t>3.65</w:t>
            </w:r>
          </w:p>
        </w:tc>
        <w:tc>
          <w:tcPr>
            <w:tcW w:w="800" w:type="pct"/>
          </w:tcPr>
          <w:p w14:paraId="372A48DB" w14:textId="77777777" w:rsidR="005E08D7" w:rsidRPr="005C3CE4" w:rsidRDefault="005E08D7" w:rsidP="00BA7923">
            <w:pPr>
              <w:spacing w:before="0" w:after="0" w:line="240" w:lineRule="auto"/>
              <w:jc w:val="center"/>
            </w:pPr>
            <w:r w:rsidRPr="005C3CE4">
              <w:t>2.46</w:t>
            </w:r>
          </w:p>
        </w:tc>
      </w:tr>
      <w:tr w:rsidR="0053591B" w:rsidRPr="005C3CE4" w14:paraId="2B679750" w14:textId="77777777" w:rsidTr="0053591B">
        <w:tc>
          <w:tcPr>
            <w:tcW w:w="2126" w:type="pct"/>
          </w:tcPr>
          <w:p w14:paraId="7E18D473" w14:textId="1B9D767D" w:rsidR="0053591B" w:rsidRPr="005C3CE4" w:rsidRDefault="00F307B9" w:rsidP="00BA7923">
            <w:pPr>
              <w:spacing w:before="0" w:after="0" w:line="240" w:lineRule="auto"/>
            </w:pPr>
            <w:proofErr w:type="spellStart"/>
            <w:r w:rsidRPr="005C3CE4">
              <w:t>Esport</w:t>
            </w:r>
            <w:proofErr w:type="spellEnd"/>
            <w:r w:rsidRPr="005C3CE4">
              <w:t xml:space="preserve"> participation</w:t>
            </w:r>
            <w:r w:rsidR="00570B44">
              <w:t xml:space="preserve"> (hours)</w:t>
            </w:r>
          </w:p>
        </w:tc>
        <w:tc>
          <w:tcPr>
            <w:tcW w:w="1298" w:type="pct"/>
          </w:tcPr>
          <w:p w14:paraId="199B3DBC" w14:textId="77777777" w:rsidR="0053591B" w:rsidRPr="005C3CE4" w:rsidRDefault="0053591B" w:rsidP="00BA7923">
            <w:pPr>
              <w:spacing w:before="0" w:after="0" w:line="240" w:lineRule="auto"/>
            </w:pPr>
          </w:p>
        </w:tc>
        <w:tc>
          <w:tcPr>
            <w:tcW w:w="776" w:type="pct"/>
          </w:tcPr>
          <w:p w14:paraId="739C15CF" w14:textId="6E6A0A3B" w:rsidR="0053591B" w:rsidRPr="005C3CE4" w:rsidRDefault="00F307B9" w:rsidP="00BA7923">
            <w:pPr>
              <w:spacing w:before="0" w:after="0" w:line="240" w:lineRule="auto"/>
              <w:jc w:val="center"/>
            </w:pPr>
            <w:r w:rsidRPr="005C3CE4">
              <w:t>2.02</w:t>
            </w:r>
          </w:p>
        </w:tc>
        <w:tc>
          <w:tcPr>
            <w:tcW w:w="800" w:type="pct"/>
          </w:tcPr>
          <w:p w14:paraId="45FD8F19" w14:textId="4B08EBFE" w:rsidR="0053591B" w:rsidRPr="005C3CE4" w:rsidRDefault="00F307B9" w:rsidP="00BA7923">
            <w:pPr>
              <w:spacing w:before="0" w:after="0" w:line="240" w:lineRule="auto"/>
              <w:jc w:val="center"/>
            </w:pPr>
            <w:r w:rsidRPr="005C3CE4">
              <w:t>1.48</w:t>
            </w:r>
          </w:p>
        </w:tc>
      </w:tr>
      <w:tr w:rsidR="0053591B" w:rsidRPr="005C3CE4" w14:paraId="700C5AB8" w14:textId="77777777" w:rsidTr="00BA7923">
        <w:tc>
          <w:tcPr>
            <w:tcW w:w="2126" w:type="pct"/>
            <w:tcBorders>
              <w:bottom w:val="single" w:sz="4" w:space="0" w:color="000000"/>
            </w:tcBorders>
          </w:tcPr>
          <w:p w14:paraId="71A4496D" w14:textId="77C848E7" w:rsidR="0053591B" w:rsidRPr="005C3CE4" w:rsidRDefault="00F307B9" w:rsidP="00BA7923">
            <w:pPr>
              <w:spacing w:before="0" w:after="0" w:line="240" w:lineRule="auto"/>
            </w:pPr>
            <w:r w:rsidRPr="005C3CE4">
              <w:t>Mental fatigue</w:t>
            </w:r>
          </w:p>
        </w:tc>
        <w:tc>
          <w:tcPr>
            <w:tcW w:w="1298" w:type="pct"/>
            <w:tcBorders>
              <w:bottom w:val="single" w:sz="4" w:space="0" w:color="000000"/>
            </w:tcBorders>
          </w:tcPr>
          <w:p w14:paraId="46A1C5D2" w14:textId="77777777" w:rsidR="0053591B" w:rsidRPr="005C3CE4" w:rsidRDefault="0053591B" w:rsidP="00BA7923">
            <w:pPr>
              <w:spacing w:before="0" w:after="0" w:line="240" w:lineRule="auto"/>
            </w:pPr>
          </w:p>
        </w:tc>
        <w:tc>
          <w:tcPr>
            <w:tcW w:w="776" w:type="pct"/>
            <w:tcBorders>
              <w:bottom w:val="single" w:sz="4" w:space="0" w:color="000000"/>
            </w:tcBorders>
          </w:tcPr>
          <w:p w14:paraId="472EE06E" w14:textId="7C49BDBC" w:rsidR="0053591B" w:rsidRPr="005C3CE4" w:rsidRDefault="00F307B9" w:rsidP="00BA7923">
            <w:pPr>
              <w:spacing w:before="0" w:after="0" w:line="240" w:lineRule="auto"/>
              <w:jc w:val="center"/>
            </w:pPr>
            <w:r w:rsidRPr="005C3CE4">
              <w:t>4.61</w:t>
            </w:r>
          </w:p>
        </w:tc>
        <w:tc>
          <w:tcPr>
            <w:tcW w:w="800" w:type="pct"/>
            <w:tcBorders>
              <w:bottom w:val="single" w:sz="4" w:space="0" w:color="000000"/>
            </w:tcBorders>
          </w:tcPr>
          <w:p w14:paraId="6C64BF50" w14:textId="34D7A005" w:rsidR="0053591B" w:rsidRPr="005C3CE4" w:rsidRDefault="00F307B9" w:rsidP="00BA7923">
            <w:pPr>
              <w:spacing w:before="0" w:after="0" w:line="240" w:lineRule="auto"/>
              <w:jc w:val="center"/>
            </w:pPr>
            <w:r w:rsidRPr="005C3CE4">
              <w:t>2.69</w:t>
            </w:r>
          </w:p>
        </w:tc>
      </w:tr>
    </w:tbl>
    <w:p w14:paraId="29E06854" w14:textId="0F56A230" w:rsidR="004F5F04" w:rsidRPr="005C3CE4" w:rsidRDefault="004F5F04" w:rsidP="001D3A8E">
      <w:pPr>
        <w:pStyle w:val="BodyText"/>
        <w:ind w:firstLine="0"/>
      </w:pPr>
    </w:p>
    <w:p w14:paraId="0F11EBD1" w14:textId="4A2D1C32" w:rsidR="007C7128" w:rsidRPr="005C3CE4" w:rsidRDefault="00CC0969">
      <w:pPr>
        <w:pStyle w:val="Heading2"/>
      </w:pPr>
      <w:bookmarkStart w:id="9" w:name="within-person-effects"/>
      <w:bookmarkEnd w:id="8"/>
      <w:r w:rsidRPr="005C3CE4">
        <w:t>Within-person effects</w:t>
      </w:r>
      <w:r w:rsidR="002D3927" w:rsidRPr="005C3CE4">
        <w:t xml:space="preserve"> (lagged and cross-lagged effects)</w:t>
      </w:r>
    </w:p>
    <w:p w14:paraId="0C862283" w14:textId="6346CC28" w:rsidR="00AC54A9" w:rsidRDefault="00CC0969" w:rsidP="00474A0C">
      <w:pPr>
        <w:pStyle w:val="FirstParagraph"/>
      </w:pPr>
      <w:r w:rsidRPr="005C3CE4">
        <w:t xml:space="preserve">The results of the lagged and cross-lagged effects </w:t>
      </w:r>
      <w:r w:rsidR="00E1487E">
        <w:t>are</w:t>
      </w:r>
      <w:r w:rsidRPr="005C3CE4">
        <w:t xml:space="preserve"> presented in table 2. The average </w:t>
      </w:r>
      <w:r w:rsidR="00B455AA" w:rsidRPr="005C3CE4">
        <w:t>autoregressive</w:t>
      </w:r>
      <w:r w:rsidRPr="005C3CE4">
        <w:t xml:space="preserve"> effect of MF was significantly different from 0 (</w:t>
      </w:r>
      <w:proofErr w:type="spellStart"/>
      <w:r w:rsidRPr="005C3CE4">
        <w:t>Φ</w:t>
      </w:r>
      <w:r w:rsidRPr="005C3CE4">
        <w:rPr>
          <w:vertAlign w:val="subscript"/>
        </w:rPr>
        <w:t>mm</w:t>
      </w:r>
      <w:proofErr w:type="spellEnd"/>
      <w:r w:rsidRPr="005C3CE4">
        <w:t xml:space="preserve"> = 0.118, 95%CI = 0.001-0.238). 6.35% of participants had a statistically significant estimate on this effect. The average cross-l</w:t>
      </w:r>
      <w:r w:rsidR="001B58AA">
        <w:t>a</w:t>
      </w:r>
      <w:r w:rsidRPr="005C3CE4">
        <w:t xml:space="preserve">gged effect from </w:t>
      </w:r>
      <w:r w:rsidR="001A7E57" w:rsidRPr="005C3CE4">
        <w:t>EP</w:t>
      </w:r>
      <w:r w:rsidRPr="005C3CE4">
        <w:t xml:space="preserve"> to MF was significantly different from 0 (β</w:t>
      </w:r>
      <w:proofErr w:type="spellStart"/>
      <w:r w:rsidRPr="005C3CE4">
        <w:rPr>
          <w:vertAlign w:val="subscript"/>
        </w:rPr>
        <w:t>em</w:t>
      </w:r>
      <w:proofErr w:type="spellEnd"/>
      <w:r w:rsidRPr="005C3CE4">
        <w:t xml:space="preserve"> = 0.782, 95%CI = 0.680-0.882), 80.95% of participants had a statistically significant estimate on this effect. The average cross-l</w:t>
      </w:r>
      <w:r w:rsidR="001B58AA">
        <w:t>a</w:t>
      </w:r>
      <w:r w:rsidRPr="005C3CE4">
        <w:t xml:space="preserve">gged effect from MF to </w:t>
      </w:r>
      <w:r w:rsidR="001A7E57" w:rsidRPr="005C3CE4">
        <w:t>EP</w:t>
      </w:r>
      <w:r w:rsidRPr="005C3CE4">
        <w:t xml:space="preserve"> was significantly different from 0 (β</w:t>
      </w:r>
      <w:r w:rsidRPr="005C3CE4">
        <w:rPr>
          <w:vertAlign w:val="subscript"/>
        </w:rPr>
        <w:t>me</w:t>
      </w:r>
      <w:r w:rsidRPr="005C3CE4">
        <w:t xml:space="preserve"> = -0.382, 95%CI = -0.572–0.203). 25.40% of participants had a statistically significant estimate on this effect.</w:t>
      </w:r>
    </w:p>
    <w:p w14:paraId="2E12FD40" w14:textId="77777777" w:rsidR="00500BF5" w:rsidRPr="00500BF5" w:rsidRDefault="00500BF5" w:rsidP="00500BF5">
      <w:pPr>
        <w:pStyle w:val="BodyText"/>
      </w:pPr>
    </w:p>
    <w:p w14:paraId="191854F4" w14:textId="2385E90E" w:rsidR="00C31159" w:rsidRPr="002011C4" w:rsidRDefault="00E92BDC" w:rsidP="00E92BDC">
      <w:pPr>
        <w:pStyle w:val="BodyText"/>
        <w:ind w:firstLine="0"/>
        <w:rPr>
          <w:b/>
          <w:bCs/>
        </w:rPr>
      </w:pPr>
      <w:r w:rsidRPr="002011C4">
        <w:rPr>
          <w:b/>
          <w:bCs/>
        </w:rPr>
        <w:lastRenderedPageBreak/>
        <w:t xml:space="preserve">Table </w:t>
      </w:r>
      <w:r w:rsidR="00230605" w:rsidRPr="002011C4">
        <w:rPr>
          <w:b/>
          <w:bCs/>
        </w:rPr>
        <w:t>2</w:t>
      </w:r>
    </w:p>
    <w:p w14:paraId="2117B90C" w14:textId="4E636CF2" w:rsidR="00E92BDC" w:rsidRPr="005C3CE4" w:rsidRDefault="00091E1E" w:rsidP="00E92BDC">
      <w:pPr>
        <w:pStyle w:val="BodyText"/>
        <w:ind w:firstLine="0"/>
      </w:pPr>
      <w:r w:rsidRPr="005C3CE4">
        <w:t>Individually standardized estimate of lagged and cross-lagged effects</w:t>
      </w:r>
      <w:r w:rsidR="00E92BDC" w:rsidRPr="005C3CE4">
        <w:t xml:space="preserve"> (</w:t>
      </w:r>
      <w:r w:rsidR="00E92BDC" w:rsidRPr="005C3CE4">
        <w:rPr>
          <w:i/>
          <w:iCs/>
        </w:rPr>
        <w:t>N</w:t>
      </w:r>
      <w:r w:rsidR="00E92BDC" w:rsidRPr="005C3CE4">
        <w:t xml:space="preserve"> = 63)</w:t>
      </w:r>
      <w:r w:rsidR="00A365F6">
        <w:t>.</w:t>
      </w:r>
    </w:p>
    <w:tbl>
      <w:tblPr>
        <w:tblStyle w:val="TableGrid"/>
        <w:tblpPr w:leftFromText="180" w:rightFromText="180" w:vertAnchor="text" w:horzAnchor="margin" w:tblpY="15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1238"/>
        <w:gridCol w:w="1193"/>
        <w:gridCol w:w="1554"/>
        <w:gridCol w:w="854"/>
        <w:gridCol w:w="952"/>
        <w:gridCol w:w="944"/>
        <w:gridCol w:w="1433"/>
      </w:tblGrid>
      <w:tr w:rsidR="001B051D" w:rsidRPr="005C3CE4" w14:paraId="1DAC2F25" w14:textId="77777777" w:rsidTr="00CB3602">
        <w:tc>
          <w:tcPr>
            <w:tcW w:w="658" w:type="pct"/>
            <w:tcBorders>
              <w:top w:val="single" w:sz="4" w:space="0" w:color="000000"/>
            </w:tcBorders>
          </w:tcPr>
          <w:p w14:paraId="4B1A3BF3" w14:textId="77777777" w:rsidR="00E92BDC" w:rsidRPr="005C3CE4" w:rsidRDefault="00E92BDC" w:rsidP="00E92BDC">
            <w:pPr>
              <w:spacing w:before="0" w:after="0" w:line="240" w:lineRule="auto"/>
            </w:pPr>
          </w:p>
        </w:tc>
        <w:tc>
          <w:tcPr>
            <w:tcW w:w="658" w:type="pct"/>
            <w:tcBorders>
              <w:top w:val="single" w:sz="4" w:space="0" w:color="000000"/>
            </w:tcBorders>
          </w:tcPr>
          <w:p w14:paraId="487ABD75" w14:textId="77777777" w:rsidR="00E92BDC" w:rsidRPr="005C3CE4" w:rsidRDefault="00E92BDC" w:rsidP="00E92BDC">
            <w:pPr>
              <w:spacing w:before="0" w:after="0" w:line="240" w:lineRule="auto"/>
            </w:pPr>
          </w:p>
        </w:tc>
        <w:tc>
          <w:tcPr>
            <w:tcW w:w="634" w:type="pct"/>
            <w:tcBorders>
              <w:top w:val="single" w:sz="4" w:space="0" w:color="000000"/>
            </w:tcBorders>
          </w:tcPr>
          <w:p w14:paraId="27C305BA" w14:textId="77777777" w:rsidR="00E92BDC" w:rsidRPr="005C3CE4" w:rsidRDefault="00E92BDC" w:rsidP="00E92BDC">
            <w:pPr>
              <w:spacing w:before="0" w:after="0" w:line="240" w:lineRule="auto"/>
            </w:pPr>
          </w:p>
        </w:tc>
        <w:tc>
          <w:tcPr>
            <w:tcW w:w="826" w:type="pct"/>
            <w:tcBorders>
              <w:top w:val="single" w:sz="4" w:space="0" w:color="000000"/>
            </w:tcBorders>
          </w:tcPr>
          <w:p w14:paraId="7FBF6A56" w14:textId="77777777" w:rsidR="00E92BDC" w:rsidRPr="005C3CE4" w:rsidRDefault="00E92BDC" w:rsidP="00E92BDC">
            <w:pPr>
              <w:spacing w:before="0" w:after="0" w:line="240" w:lineRule="auto"/>
            </w:pPr>
          </w:p>
        </w:tc>
        <w:tc>
          <w:tcPr>
            <w:tcW w:w="454" w:type="pct"/>
            <w:tcBorders>
              <w:top w:val="single" w:sz="4" w:space="0" w:color="000000"/>
            </w:tcBorders>
          </w:tcPr>
          <w:p w14:paraId="6D5F672A" w14:textId="77777777" w:rsidR="00E92BDC" w:rsidRPr="005C3CE4" w:rsidRDefault="00E92BDC" w:rsidP="00E92BDC">
            <w:pPr>
              <w:spacing w:before="0" w:after="0" w:line="240" w:lineRule="auto"/>
            </w:pPr>
          </w:p>
        </w:tc>
        <w:tc>
          <w:tcPr>
            <w:tcW w:w="1008" w:type="pct"/>
            <w:gridSpan w:val="2"/>
            <w:tcBorders>
              <w:top w:val="single" w:sz="4" w:space="0" w:color="000000"/>
              <w:bottom w:val="single" w:sz="4" w:space="0" w:color="000000"/>
            </w:tcBorders>
          </w:tcPr>
          <w:p w14:paraId="0005B544" w14:textId="77777777" w:rsidR="00E92BDC" w:rsidRPr="005C3CE4" w:rsidRDefault="00E92BDC" w:rsidP="00E92BDC">
            <w:pPr>
              <w:spacing w:before="0" w:after="0" w:line="240" w:lineRule="auto"/>
              <w:jc w:val="center"/>
            </w:pPr>
            <w:r w:rsidRPr="005C3CE4">
              <w:t>95%CI</w:t>
            </w:r>
          </w:p>
        </w:tc>
        <w:tc>
          <w:tcPr>
            <w:tcW w:w="762" w:type="pct"/>
            <w:tcBorders>
              <w:top w:val="single" w:sz="4" w:space="0" w:color="000000"/>
            </w:tcBorders>
          </w:tcPr>
          <w:p w14:paraId="7607A0AE" w14:textId="77777777" w:rsidR="00E92BDC" w:rsidRPr="005C3CE4" w:rsidRDefault="00E92BDC" w:rsidP="00E92BDC">
            <w:pPr>
              <w:spacing w:before="0" w:after="0" w:line="240" w:lineRule="auto"/>
              <w:jc w:val="center"/>
            </w:pPr>
          </w:p>
        </w:tc>
      </w:tr>
      <w:tr w:rsidR="001B051D" w:rsidRPr="005C3CE4" w14:paraId="76804F0A" w14:textId="77777777" w:rsidTr="00CB3602">
        <w:tc>
          <w:tcPr>
            <w:tcW w:w="658" w:type="pct"/>
            <w:tcBorders>
              <w:bottom w:val="single" w:sz="4" w:space="0" w:color="000000"/>
            </w:tcBorders>
          </w:tcPr>
          <w:p w14:paraId="7199707C" w14:textId="34E90EB1" w:rsidR="00E92BDC" w:rsidRPr="005C3CE4" w:rsidRDefault="00E92BDC" w:rsidP="00E92BDC">
            <w:pPr>
              <w:spacing w:before="0" w:after="0" w:line="240" w:lineRule="auto"/>
            </w:pPr>
            <w:r w:rsidRPr="005C3CE4">
              <w:t>Predictor</w:t>
            </w:r>
          </w:p>
        </w:tc>
        <w:tc>
          <w:tcPr>
            <w:tcW w:w="658" w:type="pct"/>
            <w:tcBorders>
              <w:bottom w:val="single" w:sz="4" w:space="0" w:color="000000"/>
            </w:tcBorders>
          </w:tcPr>
          <w:p w14:paraId="267D4148" w14:textId="77777777" w:rsidR="00E92BDC" w:rsidRPr="005C3CE4" w:rsidRDefault="00E92BDC" w:rsidP="00E92BDC">
            <w:pPr>
              <w:spacing w:before="0" w:after="0" w:line="240" w:lineRule="auto"/>
              <w:jc w:val="center"/>
            </w:pPr>
            <w:r w:rsidRPr="005C3CE4">
              <w:t>Outcome</w:t>
            </w:r>
          </w:p>
        </w:tc>
        <w:tc>
          <w:tcPr>
            <w:tcW w:w="634" w:type="pct"/>
            <w:tcBorders>
              <w:bottom w:val="single" w:sz="4" w:space="0" w:color="000000"/>
            </w:tcBorders>
          </w:tcPr>
          <w:p w14:paraId="2E3E20ED" w14:textId="77777777" w:rsidR="00E92BDC" w:rsidRPr="005C3CE4" w:rsidRDefault="00E92BDC" w:rsidP="00E92BDC">
            <w:pPr>
              <w:spacing w:before="0" w:after="0" w:line="240" w:lineRule="auto"/>
              <w:jc w:val="center"/>
            </w:pPr>
            <w:r w:rsidRPr="005C3CE4">
              <w:t>Notation</w:t>
            </w:r>
          </w:p>
        </w:tc>
        <w:tc>
          <w:tcPr>
            <w:tcW w:w="826" w:type="pct"/>
            <w:tcBorders>
              <w:bottom w:val="single" w:sz="4" w:space="0" w:color="000000"/>
            </w:tcBorders>
          </w:tcPr>
          <w:p w14:paraId="2081FFAA" w14:textId="77777777" w:rsidR="00E92BDC" w:rsidRPr="005C3CE4" w:rsidRDefault="00E92BDC" w:rsidP="00E92BDC">
            <w:pPr>
              <w:spacing w:before="0" w:after="0" w:line="240" w:lineRule="auto"/>
              <w:jc w:val="center"/>
            </w:pPr>
            <w:r w:rsidRPr="005C3CE4">
              <w:t>Estimate</w:t>
            </w:r>
          </w:p>
        </w:tc>
        <w:tc>
          <w:tcPr>
            <w:tcW w:w="454" w:type="pct"/>
            <w:tcBorders>
              <w:bottom w:val="single" w:sz="4" w:space="0" w:color="000000"/>
            </w:tcBorders>
          </w:tcPr>
          <w:p w14:paraId="3639CEE3" w14:textId="77777777" w:rsidR="00E92BDC" w:rsidRPr="005C3CE4" w:rsidRDefault="00E92BDC" w:rsidP="00E92BDC">
            <w:pPr>
              <w:spacing w:before="0" w:after="0" w:line="240" w:lineRule="auto"/>
              <w:jc w:val="center"/>
            </w:pPr>
            <w:r w:rsidRPr="005C3CE4">
              <w:t>PSD</w:t>
            </w:r>
          </w:p>
        </w:tc>
        <w:tc>
          <w:tcPr>
            <w:tcW w:w="506" w:type="pct"/>
            <w:tcBorders>
              <w:top w:val="single" w:sz="4" w:space="0" w:color="000000"/>
              <w:bottom w:val="single" w:sz="4" w:space="0" w:color="000000"/>
            </w:tcBorders>
          </w:tcPr>
          <w:p w14:paraId="62C2A1CB" w14:textId="77777777" w:rsidR="00E92BDC" w:rsidRPr="005C3CE4" w:rsidRDefault="00E92BDC" w:rsidP="00E92BDC">
            <w:pPr>
              <w:spacing w:before="0" w:after="0" w:line="240" w:lineRule="auto"/>
              <w:jc w:val="center"/>
            </w:pPr>
            <w:r w:rsidRPr="005C3CE4">
              <w:t>Lower</w:t>
            </w:r>
          </w:p>
        </w:tc>
        <w:tc>
          <w:tcPr>
            <w:tcW w:w="502" w:type="pct"/>
            <w:tcBorders>
              <w:top w:val="single" w:sz="4" w:space="0" w:color="000000"/>
              <w:bottom w:val="single" w:sz="4" w:space="0" w:color="000000"/>
            </w:tcBorders>
          </w:tcPr>
          <w:p w14:paraId="5FC5E5F3" w14:textId="77777777" w:rsidR="00E92BDC" w:rsidRPr="005C3CE4" w:rsidRDefault="00E92BDC" w:rsidP="00E92BDC">
            <w:pPr>
              <w:spacing w:before="0" w:after="0" w:line="240" w:lineRule="auto"/>
              <w:jc w:val="center"/>
            </w:pPr>
            <w:r w:rsidRPr="005C3CE4">
              <w:t>Upper</w:t>
            </w:r>
          </w:p>
        </w:tc>
        <w:tc>
          <w:tcPr>
            <w:tcW w:w="762" w:type="pct"/>
            <w:tcBorders>
              <w:bottom w:val="single" w:sz="4" w:space="0" w:color="000000"/>
            </w:tcBorders>
          </w:tcPr>
          <w:p w14:paraId="4613891F" w14:textId="77777777" w:rsidR="00E92BDC" w:rsidRPr="005C3CE4" w:rsidRDefault="00E92BDC" w:rsidP="00E92BDC">
            <w:pPr>
              <w:spacing w:before="0" w:after="0" w:line="240" w:lineRule="auto"/>
              <w:jc w:val="center"/>
            </w:pPr>
            <w:r w:rsidRPr="005C3CE4">
              <w:t>Percentage</w:t>
            </w:r>
          </w:p>
        </w:tc>
      </w:tr>
      <w:tr w:rsidR="001B051D" w:rsidRPr="005C3CE4" w14:paraId="5F6E0CAC" w14:textId="77777777" w:rsidTr="00CB3602">
        <w:tc>
          <w:tcPr>
            <w:tcW w:w="658" w:type="pct"/>
            <w:tcBorders>
              <w:top w:val="single" w:sz="4" w:space="0" w:color="000000"/>
            </w:tcBorders>
          </w:tcPr>
          <w:p w14:paraId="3365183D" w14:textId="624FE905" w:rsidR="00E92BDC" w:rsidRPr="005C3CE4" w:rsidRDefault="001B051D" w:rsidP="00E92BDC">
            <w:pPr>
              <w:spacing w:before="0" w:after="0" w:line="240" w:lineRule="auto"/>
            </w:pPr>
            <w:r w:rsidRPr="005C3CE4">
              <w:t>MF</w:t>
            </w:r>
            <w:r w:rsidR="00E92BDC" w:rsidRPr="005C3CE4">
              <w:t>(t-1)</w:t>
            </w:r>
          </w:p>
        </w:tc>
        <w:tc>
          <w:tcPr>
            <w:tcW w:w="658" w:type="pct"/>
            <w:vMerge w:val="restart"/>
            <w:tcBorders>
              <w:top w:val="single" w:sz="4" w:space="0" w:color="000000"/>
            </w:tcBorders>
          </w:tcPr>
          <w:p w14:paraId="485F9B53" w14:textId="2117F999" w:rsidR="00E92BDC" w:rsidRPr="005C3CE4" w:rsidRDefault="001B051D" w:rsidP="001B051D">
            <w:pPr>
              <w:spacing w:before="140" w:after="0" w:line="240" w:lineRule="auto"/>
              <w:jc w:val="center"/>
            </w:pPr>
            <w:r w:rsidRPr="005C3CE4">
              <w:t>MF</w:t>
            </w:r>
            <w:r w:rsidR="00E92BDC" w:rsidRPr="005C3CE4">
              <w:t>(t)</w:t>
            </w:r>
          </w:p>
        </w:tc>
        <w:tc>
          <w:tcPr>
            <w:tcW w:w="634" w:type="pct"/>
            <w:tcBorders>
              <w:top w:val="single" w:sz="4" w:space="0" w:color="000000"/>
            </w:tcBorders>
          </w:tcPr>
          <w:p w14:paraId="16D69DB7" w14:textId="77777777" w:rsidR="00E92BDC" w:rsidRPr="005C3CE4" w:rsidRDefault="00E92BDC" w:rsidP="001B051D">
            <w:pPr>
              <w:spacing w:before="40" w:after="0" w:line="240" w:lineRule="auto"/>
              <w:jc w:val="center"/>
              <w:rPr>
                <w:rFonts w:cs="Times New Roman"/>
                <w:sz w:val="16"/>
                <w:szCs w:val="16"/>
                <w:vertAlign w:val="subscript"/>
              </w:rPr>
            </w:pPr>
            <w:r w:rsidRPr="005C3CE4">
              <w:rPr>
                <w:rFonts w:cs="Times New Roman"/>
                <w:sz w:val="16"/>
                <w:szCs w:val="16"/>
                <w:lang w:val="el-GR"/>
              </w:rPr>
              <w:t>Φ</w:t>
            </w:r>
            <w:r w:rsidRPr="005C3CE4">
              <w:rPr>
                <w:rFonts w:cs="Times New Roman"/>
                <w:sz w:val="16"/>
                <w:szCs w:val="16"/>
                <w:vertAlign w:val="subscript"/>
              </w:rPr>
              <w:t>mm</w:t>
            </w:r>
          </w:p>
        </w:tc>
        <w:tc>
          <w:tcPr>
            <w:tcW w:w="826" w:type="pct"/>
            <w:tcBorders>
              <w:top w:val="single" w:sz="4" w:space="0" w:color="000000"/>
            </w:tcBorders>
          </w:tcPr>
          <w:p w14:paraId="426D31CC" w14:textId="72BBC1D0" w:rsidR="00E92BDC" w:rsidRPr="005C3CE4" w:rsidRDefault="00E92BDC" w:rsidP="00E92BDC">
            <w:pPr>
              <w:spacing w:before="0" w:after="0" w:line="240" w:lineRule="auto"/>
              <w:jc w:val="center"/>
            </w:pPr>
            <w:r w:rsidRPr="005C3CE4">
              <w:t>0.118</w:t>
            </w:r>
            <w:r w:rsidR="00CB3602" w:rsidRPr="005C3CE4">
              <w:t>*</w:t>
            </w:r>
          </w:p>
        </w:tc>
        <w:tc>
          <w:tcPr>
            <w:tcW w:w="454" w:type="pct"/>
            <w:tcBorders>
              <w:top w:val="single" w:sz="4" w:space="0" w:color="000000"/>
            </w:tcBorders>
          </w:tcPr>
          <w:p w14:paraId="721C416A" w14:textId="77777777" w:rsidR="00E92BDC" w:rsidRPr="005C3CE4" w:rsidRDefault="00E92BDC" w:rsidP="00E92BDC">
            <w:pPr>
              <w:spacing w:before="0" w:after="0" w:line="240" w:lineRule="auto"/>
              <w:jc w:val="center"/>
            </w:pPr>
            <w:r w:rsidRPr="005C3CE4">
              <w:t>0.061</w:t>
            </w:r>
          </w:p>
        </w:tc>
        <w:tc>
          <w:tcPr>
            <w:tcW w:w="506" w:type="pct"/>
            <w:tcBorders>
              <w:top w:val="single" w:sz="4" w:space="0" w:color="000000"/>
            </w:tcBorders>
          </w:tcPr>
          <w:p w14:paraId="41066556" w14:textId="77777777" w:rsidR="00E92BDC" w:rsidRPr="005C3CE4" w:rsidRDefault="00E92BDC" w:rsidP="00E92BDC">
            <w:pPr>
              <w:spacing w:before="0" w:after="0" w:line="240" w:lineRule="auto"/>
              <w:jc w:val="center"/>
            </w:pPr>
            <w:r w:rsidRPr="005C3CE4">
              <w:t>0.001</w:t>
            </w:r>
          </w:p>
        </w:tc>
        <w:tc>
          <w:tcPr>
            <w:tcW w:w="502" w:type="pct"/>
            <w:tcBorders>
              <w:top w:val="single" w:sz="4" w:space="0" w:color="000000"/>
            </w:tcBorders>
          </w:tcPr>
          <w:p w14:paraId="2D6A6863" w14:textId="77777777" w:rsidR="00E92BDC" w:rsidRPr="005C3CE4" w:rsidRDefault="00E92BDC" w:rsidP="00E92BDC">
            <w:pPr>
              <w:spacing w:before="0" w:after="0" w:line="240" w:lineRule="auto"/>
              <w:jc w:val="center"/>
            </w:pPr>
            <w:r w:rsidRPr="005C3CE4">
              <w:t>0.238</w:t>
            </w:r>
          </w:p>
        </w:tc>
        <w:tc>
          <w:tcPr>
            <w:tcW w:w="762" w:type="pct"/>
            <w:tcBorders>
              <w:top w:val="single" w:sz="4" w:space="0" w:color="000000"/>
            </w:tcBorders>
          </w:tcPr>
          <w:p w14:paraId="66337721" w14:textId="77777777" w:rsidR="00E92BDC" w:rsidRPr="005C3CE4" w:rsidRDefault="00E92BDC" w:rsidP="00E92BDC">
            <w:pPr>
              <w:spacing w:before="0" w:after="0" w:line="240" w:lineRule="auto"/>
              <w:jc w:val="center"/>
            </w:pPr>
            <w:r w:rsidRPr="005C3CE4">
              <w:t>6.35%</w:t>
            </w:r>
          </w:p>
        </w:tc>
      </w:tr>
      <w:tr w:rsidR="001B051D" w:rsidRPr="005C3CE4" w14:paraId="25F9D746" w14:textId="77777777" w:rsidTr="00CB3602">
        <w:tc>
          <w:tcPr>
            <w:tcW w:w="658" w:type="pct"/>
          </w:tcPr>
          <w:p w14:paraId="1BE8FA9A" w14:textId="78DACDCF" w:rsidR="00E92BDC" w:rsidRPr="005C3CE4" w:rsidRDefault="001B051D" w:rsidP="00E92BDC">
            <w:pPr>
              <w:spacing w:before="0" w:after="0" w:line="240" w:lineRule="auto"/>
            </w:pPr>
            <w:r w:rsidRPr="005C3CE4">
              <w:t>EP</w:t>
            </w:r>
            <w:r w:rsidR="00E92BDC" w:rsidRPr="005C3CE4">
              <w:t>(t)</w:t>
            </w:r>
          </w:p>
        </w:tc>
        <w:tc>
          <w:tcPr>
            <w:tcW w:w="658" w:type="pct"/>
            <w:vMerge/>
          </w:tcPr>
          <w:p w14:paraId="53E2B0CC" w14:textId="77777777" w:rsidR="00E92BDC" w:rsidRPr="005C3CE4" w:rsidRDefault="00E92BDC" w:rsidP="00E92BDC">
            <w:pPr>
              <w:spacing w:before="0" w:after="0" w:line="240" w:lineRule="auto"/>
              <w:jc w:val="center"/>
            </w:pPr>
          </w:p>
        </w:tc>
        <w:tc>
          <w:tcPr>
            <w:tcW w:w="634" w:type="pct"/>
          </w:tcPr>
          <w:p w14:paraId="3AA56D8F" w14:textId="77777777" w:rsidR="00E92BDC" w:rsidRPr="005C3CE4" w:rsidRDefault="00E92BDC" w:rsidP="001B051D">
            <w:pPr>
              <w:spacing w:before="40" w:after="0" w:line="240" w:lineRule="auto"/>
              <w:jc w:val="center"/>
              <w:rPr>
                <w:rFonts w:cs="Times New Roman"/>
                <w:sz w:val="16"/>
                <w:szCs w:val="16"/>
              </w:rPr>
            </w:pPr>
            <w:r w:rsidRPr="005C3CE4">
              <w:rPr>
                <w:rFonts w:cs="Times New Roman"/>
                <w:sz w:val="16"/>
                <w:szCs w:val="16"/>
                <w:lang w:val="el-GR"/>
              </w:rPr>
              <w:t>β</w:t>
            </w:r>
            <w:proofErr w:type="spellStart"/>
            <w:r w:rsidRPr="005C3CE4">
              <w:rPr>
                <w:rFonts w:cs="Times New Roman"/>
                <w:sz w:val="16"/>
                <w:szCs w:val="16"/>
                <w:vertAlign w:val="subscript"/>
              </w:rPr>
              <w:t>em</w:t>
            </w:r>
            <w:proofErr w:type="spellEnd"/>
          </w:p>
        </w:tc>
        <w:tc>
          <w:tcPr>
            <w:tcW w:w="826" w:type="pct"/>
          </w:tcPr>
          <w:p w14:paraId="7768CC8E" w14:textId="630C879F" w:rsidR="00E92BDC" w:rsidRPr="005C3CE4" w:rsidRDefault="00E92BDC" w:rsidP="00E92BDC">
            <w:pPr>
              <w:spacing w:before="0" w:after="0" w:line="240" w:lineRule="auto"/>
              <w:jc w:val="center"/>
            </w:pPr>
            <w:r w:rsidRPr="005C3CE4">
              <w:t>0.782</w:t>
            </w:r>
            <w:r w:rsidR="00CB3602" w:rsidRPr="005C3CE4">
              <w:t>***</w:t>
            </w:r>
          </w:p>
        </w:tc>
        <w:tc>
          <w:tcPr>
            <w:tcW w:w="454" w:type="pct"/>
          </w:tcPr>
          <w:p w14:paraId="0A7C59FA" w14:textId="77777777" w:rsidR="00E92BDC" w:rsidRPr="005C3CE4" w:rsidRDefault="00E92BDC" w:rsidP="00E92BDC">
            <w:pPr>
              <w:spacing w:before="0" w:after="0" w:line="240" w:lineRule="auto"/>
              <w:jc w:val="center"/>
            </w:pPr>
            <w:r w:rsidRPr="005C3CE4">
              <w:t>0.051</w:t>
            </w:r>
          </w:p>
        </w:tc>
        <w:tc>
          <w:tcPr>
            <w:tcW w:w="506" w:type="pct"/>
          </w:tcPr>
          <w:p w14:paraId="5F947EFF" w14:textId="77777777" w:rsidR="00E92BDC" w:rsidRPr="005C3CE4" w:rsidRDefault="00E92BDC" w:rsidP="00E92BDC">
            <w:pPr>
              <w:spacing w:before="0" w:after="0" w:line="240" w:lineRule="auto"/>
              <w:jc w:val="center"/>
            </w:pPr>
            <w:r w:rsidRPr="005C3CE4">
              <w:t>0.680</w:t>
            </w:r>
          </w:p>
        </w:tc>
        <w:tc>
          <w:tcPr>
            <w:tcW w:w="502" w:type="pct"/>
          </w:tcPr>
          <w:p w14:paraId="5ED8D8CC" w14:textId="77777777" w:rsidR="00E92BDC" w:rsidRPr="005C3CE4" w:rsidRDefault="00E92BDC" w:rsidP="00E92BDC">
            <w:pPr>
              <w:spacing w:before="0" w:after="0" w:line="240" w:lineRule="auto"/>
              <w:jc w:val="center"/>
            </w:pPr>
            <w:r w:rsidRPr="005C3CE4">
              <w:t>0.882</w:t>
            </w:r>
          </w:p>
        </w:tc>
        <w:tc>
          <w:tcPr>
            <w:tcW w:w="762" w:type="pct"/>
          </w:tcPr>
          <w:p w14:paraId="4001F3FC" w14:textId="77777777" w:rsidR="00E92BDC" w:rsidRPr="005C3CE4" w:rsidRDefault="00E92BDC" w:rsidP="00E92BDC">
            <w:pPr>
              <w:spacing w:before="0" w:after="0" w:line="240" w:lineRule="auto"/>
              <w:jc w:val="center"/>
            </w:pPr>
            <w:r w:rsidRPr="005C3CE4">
              <w:t>80.95%</w:t>
            </w:r>
          </w:p>
        </w:tc>
      </w:tr>
      <w:tr w:rsidR="001B051D" w:rsidRPr="005C3CE4" w14:paraId="3E6908DE" w14:textId="77777777" w:rsidTr="00CB3602">
        <w:tc>
          <w:tcPr>
            <w:tcW w:w="658" w:type="pct"/>
          </w:tcPr>
          <w:p w14:paraId="7CC47244" w14:textId="64886D43" w:rsidR="00E92BDC" w:rsidRPr="005C3CE4" w:rsidRDefault="001B051D" w:rsidP="00E92BDC">
            <w:pPr>
              <w:spacing w:before="0" w:after="0" w:line="240" w:lineRule="auto"/>
            </w:pPr>
            <w:r w:rsidRPr="005C3CE4">
              <w:t>EP</w:t>
            </w:r>
            <w:r w:rsidR="00E92BDC" w:rsidRPr="005C3CE4">
              <w:t>(t-1)</w:t>
            </w:r>
          </w:p>
        </w:tc>
        <w:tc>
          <w:tcPr>
            <w:tcW w:w="658" w:type="pct"/>
            <w:vMerge w:val="restart"/>
          </w:tcPr>
          <w:p w14:paraId="176092BE" w14:textId="3B8424C9" w:rsidR="00E92BDC" w:rsidRPr="005C3CE4" w:rsidRDefault="001B051D" w:rsidP="001B051D">
            <w:pPr>
              <w:spacing w:before="140" w:after="0" w:line="240" w:lineRule="auto"/>
              <w:jc w:val="center"/>
            </w:pPr>
            <w:r w:rsidRPr="005C3CE4">
              <w:t>EP</w:t>
            </w:r>
            <w:r w:rsidR="00E92BDC" w:rsidRPr="005C3CE4">
              <w:t>(t)</w:t>
            </w:r>
          </w:p>
        </w:tc>
        <w:tc>
          <w:tcPr>
            <w:tcW w:w="634" w:type="pct"/>
          </w:tcPr>
          <w:p w14:paraId="6EEA3632" w14:textId="77777777" w:rsidR="00E92BDC" w:rsidRPr="005C3CE4" w:rsidRDefault="00E92BDC" w:rsidP="001B051D">
            <w:pPr>
              <w:spacing w:before="40" w:after="0" w:line="240" w:lineRule="auto"/>
              <w:jc w:val="center"/>
              <w:rPr>
                <w:rFonts w:cs="Times New Roman"/>
                <w:sz w:val="16"/>
                <w:szCs w:val="16"/>
              </w:rPr>
            </w:pPr>
            <w:r w:rsidRPr="005C3CE4">
              <w:rPr>
                <w:rFonts w:cs="Times New Roman"/>
                <w:sz w:val="16"/>
                <w:szCs w:val="16"/>
                <w:lang w:val="el-GR"/>
              </w:rPr>
              <w:t>Φ</w:t>
            </w:r>
            <w:proofErr w:type="spellStart"/>
            <w:r w:rsidRPr="005C3CE4">
              <w:rPr>
                <w:rFonts w:cs="Times New Roman"/>
                <w:sz w:val="16"/>
                <w:szCs w:val="16"/>
                <w:vertAlign w:val="subscript"/>
              </w:rPr>
              <w:t>ee</w:t>
            </w:r>
            <w:proofErr w:type="spellEnd"/>
          </w:p>
        </w:tc>
        <w:tc>
          <w:tcPr>
            <w:tcW w:w="826" w:type="pct"/>
          </w:tcPr>
          <w:p w14:paraId="2A2E1EB1" w14:textId="77777777" w:rsidR="00E92BDC" w:rsidRPr="005C3CE4" w:rsidRDefault="00E92BDC" w:rsidP="00E92BDC">
            <w:pPr>
              <w:spacing w:before="0" w:after="0" w:line="240" w:lineRule="auto"/>
              <w:jc w:val="center"/>
            </w:pPr>
            <w:r w:rsidRPr="005C3CE4">
              <w:t>0.182</w:t>
            </w:r>
          </w:p>
        </w:tc>
        <w:tc>
          <w:tcPr>
            <w:tcW w:w="454" w:type="pct"/>
          </w:tcPr>
          <w:p w14:paraId="465C2FF6" w14:textId="77777777" w:rsidR="00E92BDC" w:rsidRPr="005C3CE4" w:rsidRDefault="00E92BDC" w:rsidP="00E92BDC">
            <w:pPr>
              <w:spacing w:before="0" w:after="0" w:line="240" w:lineRule="auto"/>
              <w:jc w:val="center"/>
            </w:pPr>
            <w:r w:rsidRPr="005C3CE4">
              <w:t>0.099</w:t>
            </w:r>
          </w:p>
        </w:tc>
        <w:tc>
          <w:tcPr>
            <w:tcW w:w="506" w:type="pct"/>
          </w:tcPr>
          <w:p w14:paraId="59A8CB07" w14:textId="77777777" w:rsidR="00E92BDC" w:rsidRPr="005C3CE4" w:rsidRDefault="00E92BDC" w:rsidP="00E92BDC">
            <w:pPr>
              <w:spacing w:before="0" w:after="0" w:line="240" w:lineRule="auto"/>
              <w:jc w:val="center"/>
            </w:pPr>
            <w:r w:rsidRPr="005C3CE4">
              <w:t>-0.021</w:t>
            </w:r>
          </w:p>
        </w:tc>
        <w:tc>
          <w:tcPr>
            <w:tcW w:w="502" w:type="pct"/>
          </w:tcPr>
          <w:p w14:paraId="3B81C381" w14:textId="77777777" w:rsidR="00E92BDC" w:rsidRPr="005C3CE4" w:rsidRDefault="00E92BDC" w:rsidP="00E92BDC">
            <w:pPr>
              <w:spacing w:before="0" w:after="0" w:line="240" w:lineRule="auto"/>
              <w:jc w:val="center"/>
            </w:pPr>
            <w:r w:rsidRPr="005C3CE4">
              <w:t>0.361</w:t>
            </w:r>
          </w:p>
        </w:tc>
        <w:tc>
          <w:tcPr>
            <w:tcW w:w="762" w:type="pct"/>
          </w:tcPr>
          <w:p w14:paraId="7C35FE48" w14:textId="77777777" w:rsidR="00E92BDC" w:rsidRPr="005C3CE4" w:rsidRDefault="00E92BDC" w:rsidP="00E92BDC">
            <w:pPr>
              <w:spacing w:before="0" w:after="0" w:line="240" w:lineRule="auto"/>
              <w:jc w:val="center"/>
            </w:pPr>
            <w:r w:rsidRPr="005C3CE4">
              <w:t>3.17%</w:t>
            </w:r>
          </w:p>
        </w:tc>
      </w:tr>
      <w:tr w:rsidR="001B051D" w:rsidRPr="005C3CE4" w14:paraId="1496F7DC" w14:textId="77777777" w:rsidTr="00CB3602">
        <w:tc>
          <w:tcPr>
            <w:tcW w:w="658" w:type="pct"/>
            <w:tcBorders>
              <w:bottom w:val="single" w:sz="4" w:space="0" w:color="000000"/>
            </w:tcBorders>
          </w:tcPr>
          <w:p w14:paraId="5E85F81A" w14:textId="7236BB33" w:rsidR="00E92BDC" w:rsidRPr="005C3CE4" w:rsidRDefault="001B051D" w:rsidP="00E92BDC">
            <w:pPr>
              <w:spacing w:before="0" w:after="0" w:line="240" w:lineRule="auto"/>
            </w:pPr>
            <w:r w:rsidRPr="005C3CE4">
              <w:t>MF</w:t>
            </w:r>
            <w:r w:rsidR="00E92BDC" w:rsidRPr="005C3CE4">
              <w:t>(t-1)</w:t>
            </w:r>
          </w:p>
        </w:tc>
        <w:tc>
          <w:tcPr>
            <w:tcW w:w="658" w:type="pct"/>
            <w:vMerge/>
            <w:tcBorders>
              <w:bottom w:val="single" w:sz="4" w:space="0" w:color="000000"/>
            </w:tcBorders>
          </w:tcPr>
          <w:p w14:paraId="548BD3E9" w14:textId="77777777" w:rsidR="00E92BDC" w:rsidRPr="005C3CE4" w:rsidRDefault="00E92BDC" w:rsidP="00E92BDC">
            <w:pPr>
              <w:spacing w:before="0" w:after="0" w:line="240" w:lineRule="auto"/>
              <w:jc w:val="center"/>
            </w:pPr>
          </w:p>
        </w:tc>
        <w:tc>
          <w:tcPr>
            <w:tcW w:w="634" w:type="pct"/>
            <w:tcBorders>
              <w:bottom w:val="single" w:sz="4" w:space="0" w:color="000000"/>
            </w:tcBorders>
          </w:tcPr>
          <w:p w14:paraId="134D8304" w14:textId="77777777" w:rsidR="00E92BDC" w:rsidRPr="005C3CE4" w:rsidRDefault="00E92BDC" w:rsidP="001B051D">
            <w:pPr>
              <w:spacing w:before="40" w:after="0" w:line="240" w:lineRule="auto"/>
              <w:jc w:val="center"/>
              <w:rPr>
                <w:rFonts w:cs="Times New Roman"/>
                <w:sz w:val="16"/>
                <w:szCs w:val="16"/>
              </w:rPr>
            </w:pPr>
            <w:r w:rsidRPr="005C3CE4">
              <w:rPr>
                <w:rFonts w:cs="Times New Roman"/>
                <w:sz w:val="16"/>
                <w:szCs w:val="16"/>
                <w:lang w:val="el-GR"/>
              </w:rPr>
              <w:t>β</w:t>
            </w:r>
            <w:r w:rsidRPr="005C3CE4">
              <w:rPr>
                <w:rFonts w:cs="Times New Roman"/>
                <w:sz w:val="16"/>
                <w:szCs w:val="16"/>
                <w:vertAlign w:val="subscript"/>
              </w:rPr>
              <w:t>me</w:t>
            </w:r>
          </w:p>
        </w:tc>
        <w:tc>
          <w:tcPr>
            <w:tcW w:w="826" w:type="pct"/>
            <w:tcBorders>
              <w:bottom w:val="single" w:sz="4" w:space="0" w:color="000000"/>
            </w:tcBorders>
          </w:tcPr>
          <w:p w14:paraId="1FA7DD1D" w14:textId="02CC74CC" w:rsidR="00E92BDC" w:rsidRPr="005C3CE4" w:rsidRDefault="00E92BDC" w:rsidP="00E92BDC">
            <w:pPr>
              <w:spacing w:before="0" w:after="0" w:line="240" w:lineRule="auto"/>
              <w:jc w:val="center"/>
            </w:pPr>
            <w:r w:rsidRPr="005C3CE4">
              <w:t>-0.382</w:t>
            </w:r>
            <w:r w:rsidR="00CB3602" w:rsidRPr="005C3CE4">
              <w:t>***</w:t>
            </w:r>
          </w:p>
        </w:tc>
        <w:tc>
          <w:tcPr>
            <w:tcW w:w="454" w:type="pct"/>
            <w:tcBorders>
              <w:bottom w:val="single" w:sz="4" w:space="0" w:color="000000"/>
            </w:tcBorders>
          </w:tcPr>
          <w:p w14:paraId="05DA5EE8" w14:textId="77777777" w:rsidR="00E92BDC" w:rsidRPr="005C3CE4" w:rsidRDefault="00E92BDC" w:rsidP="00E92BDC">
            <w:pPr>
              <w:spacing w:before="0" w:after="0" w:line="240" w:lineRule="auto"/>
              <w:jc w:val="center"/>
            </w:pPr>
            <w:r w:rsidRPr="005C3CE4">
              <w:t>0.091</w:t>
            </w:r>
          </w:p>
        </w:tc>
        <w:tc>
          <w:tcPr>
            <w:tcW w:w="506" w:type="pct"/>
            <w:tcBorders>
              <w:bottom w:val="single" w:sz="4" w:space="0" w:color="000000"/>
            </w:tcBorders>
          </w:tcPr>
          <w:p w14:paraId="257794B1" w14:textId="77777777" w:rsidR="00E92BDC" w:rsidRPr="005C3CE4" w:rsidRDefault="00E92BDC" w:rsidP="00E92BDC">
            <w:pPr>
              <w:spacing w:before="0" w:after="0" w:line="240" w:lineRule="auto"/>
              <w:jc w:val="center"/>
            </w:pPr>
            <w:r w:rsidRPr="005C3CE4">
              <w:t>-0.572</w:t>
            </w:r>
          </w:p>
        </w:tc>
        <w:tc>
          <w:tcPr>
            <w:tcW w:w="502" w:type="pct"/>
            <w:tcBorders>
              <w:bottom w:val="single" w:sz="4" w:space="0" w:color="000000"/>
            </w:tcBorders>
          </w:tcPr>
          <w:p w14:paraId="77901CCB" w14:textId="77777777" w:rsidR="00E92BDC" w:rsidRPr="005C3CE4" w:rsidRDefault="00E92BDC" w:rsidP="00E92BDC">
            <w:pPr>
              <w:spacing w:before="0" w:after="0" w:line="240" w:lineRule="auto"/>
              <w:jc w:val="center"/>
            </w:pPr>
            <w:r w:rsidRPr="005C3CE4">
              <w:t>-0.203</w:t>
            </w:r>
          </w:p>
        </w:tc>
        <w:tc>
          <w:tcPr>
            <w:tcW w:w="762" w:type="pct"/>
            <w:tcBorders>
              <w:bottom w:val="single" w:sz="4" w:space="0" w:color="000000"/>
            </w:tcBorders>
          </w:tcPr>
          <w:p w14:paraId="6EAD976C" w14:textId="7D432862" w:rsidR="00E92BDC" w:rsidRPr="005C3CE4" w:rsidRDefault="00E92BDC" w:rsidP="00E92BDC">
            <w:pPr>
              <w:spacing w:before="0" w:after="0" w:line="240" w:lineRule="auto"/>
              <w:jc w:val="center"/>
            </w:pPr>
            <w:r w:rsidRPr="005C3CE4">
              <w:t>25.4</w:t>
            </w:r>
            <w:r w:rsidR="00C21BA7">
              <w:t>0</w:t>
            </w:r>
            <w:r w:rsidRPr="005C3CE4">
              <w:t>%</w:t>
            </w:r>
          </w:p>
        </w:tc>
      </w:tr>
    </w:tbl>
    <w:p w14:paraId="46948760" w14:textId="0C5C343E" w:rsidR="00E92BDC" w:rsidRPr="005C3CE4" w:rsidRDefault="00531E39" w:rsidP="000D5F62">
      <w:pPr>
        <w:pStyle w:val="BodyText"/>
        <w:ind w:firstLine="0"/>
      </w:pPr>
      <w:r w:rsidRPr="00382590">
        <w:rPr>
          <w:i/>
          <w:iCs/>
        </w:rPr>
        <w:t>Note.</w:t>
      </w:r>
      <w:r>
        <w:t xml:space="preserve"> </w:t>
      </w:r>
      <w:r w:rsidR="007D7785" w:rsidRPr="005C3CE4">
        <w:t>* p &lt; 0.05, *** p &lt; 0.001</w:t>
      </w:r>
      <w:r w:rsidR="00DE7802">
        <w:t xml:space="preserve">; </w:t>
      </w:r>
      <w:r w:rsidR="00923263" w:rsidRPr="005C3CE4">
        <w:t xml:space="preserve">MF = mental fatigue; EP = </w:t>
      </w:r>
      <w:proofErr w:type="spellStart"/>
      <w:r w:rsidR="00DA5841">
        <w:t>esport</w:t>
      </w:r>
      <w:proofErr w:type="spellEnd"/>
      <w:r w:rsidR="00DA5841">
        <w:t xml:space="preserve"> participation</w:t>
      </w:r>
      <w:r w:rsidR="00923263" w:rsidRPr="005C3CE4">
        <w:t xml:space="preserve">; </w:t>
      </w:r>
      <w:r w:rsidR="00235DB4" w:rsidRPr="005C3CE4">
        <w:t xml:space="preserve">PSD = posterior standard deviation; </w:t>
      </w:r>
      <w:r w:rsidR="009E74A5" w:rsidRPr="005C3CE4">
        <w:t xml:space="preserve">CI = </w:t>
      </w:r>
      <w:r w:rsidR="00EB2174" w:rsidRPr="005C3CE4">
        <w:t>credible</w:t>
      </w:r>
      <w:r w:rsidR="009E74A5" w:rsidRPr="005C3CE4">
        <w:t xml:space="preserve"> interval</w:t>
      </w:r>
      <w:r w:rsidR="00640F43" w:rsidRPr="005C3CE4">
        <w:t>.</w:t>
      </w:r>
    </w:p>
    <w:p w14:paraId="661B2417" w14:textId="77777777" w:rsidR="007C7128" w:rsidRPr="005C3CE4" w:rsidRDefault="00CC0969">
      <w:pPr>
        <w:pStyle w:val="Heading2"/>
      </w:pPr>
      <w:bookmarkStart w:id="10" w:name="between-person-effects"/>
      <w:bookmarkEnd w:id="9"/>
      <w:r w:rsidRPr="005C3CE4">
        <w:t>Between-person effects</w:t>
      </w:r>
    </w:p>
    <w:p w14:paraId="2CDE9853" w14:textId="0E42F2AE" w:rsidR="007D1118" w:rsidRDefault="00CC0969" w:rsidP="007D1118">
      <w:pPr>
        <w:pStyle w:val="Heading3"/>
      </w:pPr>
      <w:r w:rsidRPr="005C3CE4">
        <w:t>Correlation between random effects</w:t>
      </w:r>
    </w:p>
    <w:p w14:paraId="7588D80E" w14:textId="298A52D3" w:rsidR="008607DB" w:rsidRDefault="00CC0969" w:rsidP="00C100A3">
      <w:pPr>
        <w:pStyle w:val="FirstParagraph"/>
      </w:pPr>
      <w:r w:rsidRPr="005C3CE4">
        <w:t xml:space="preserve">The results of the correlation between random effects </w:t>
      </w:r>
      <w:r w:rsidR="00632E4A">
        <w:t>are</w:t>
      </w:r>
      <w:r w:rsidRPr="005C3CE4">
        <w:t xml:space="preserve"> presented in table 3. The </w:t>
      </w:r>
      <w:r w:rsidR="00907881">
        <w:t>mean</w:t>
      </w:r>
      <w:r w:rsidRPr="005C3CE4">
        <w:t xml:space="preserve"> </w:t>
      </w:r>
      <w:r w:rsidR="001A7E57" w:rsidRPr="005C3CE4">
        <w:t>EP</w:t>
      </w:r>
      <w:r w:rsidRPr="005C3CE4">
        <w:t xml:space="preserve"> was positively associated with </w:t>
      </w:r>
      <w:r w:rsidR="00907881">
        <w:t>mean</w:t>
      </w:r>
      <w:r w:rsidR="00244153">
        <w:t xml:space="preserve"> </w:t>
      </w:r>
      <w:r w:rsidRPr="005C3CE4">
        <w:t>MF (</w:t>
      </w:r>
      <w:r w:rsidRPr="005C3CE4">
        <w:rPr>
          <w:i/>
          <w:iCs/>
        </w:rPr>
        <w:t>r</w:t>
      </w:r>
      <w:r w:rsidRPr="005C3CE4">
        <w:t xml:space="preserve"> = 0.379, 95%CI = 0.045-0.628), inertia of MF (</w:t>
      </w:r>
      <w:r w:rsidRPr="005C3CE4">
        <w:rPr>
          <w:i/>
          <w:iCs/>
        </w:rPr>
        <w:t>r</w:t>
      </w:r>
      <w:r w:rsidRPr="005C3CE4">
        <w:t xml:space="preserve"> = 0.582, 95%CI = 0.201-0.810), and negatively associated with the cross-l</w:t>
      </w:r>
      <w:r w:rsidR="006F5B32">
        <w:t>a</w:t>
      </w:r>
      <w:r w:rsidRPr="005C3CE4">
        <w:t xml:space="preserve">gged effect from MF to </w:t>
      </w:r>
      <w:r w:rsidR="001A7E57" w:rsidRPr="005C3CE4">
        <w:t>EP</w:t>
      </w:r>
      <w:r w:rsidRPr="005C3CE4">
        <w:t xml:space="preserve"> (</w:t>
      </w:r>
      <w:r w:rsidRPr="005C3CE4">
        <w:rPr>
          <w:i/>
          <w:iCs/>
        </w:rPr>
        <w:t>r</w:t>
      </w:r>
      <w:r w:rsidRPr="005C3CE4">
        <w:t xml:space="preserve"> = -0.862, 95%CI = -0.972–0.608). The inertia of MF was negatively associated with the cross-l</w:t>
      </w:r>
      <w:r w:rsidR="006F5B32">
        <w:t>a</w:t>
      </w:r>
      <w:r w:rsidRPr="005C3CE4">
        <w:t xml:space="preserve">gged effect </w:t>
      </w:r>
      <w:r w:rsidR="00244153">
        <w:t>from</w:t>
      </w:r>
      <w:r w:rsidRPr="005C3CE4">
        <w:t xml:space="preserve"> MF </w:t>
      </w:r>
      <w:r w:rsidR="00244153">
        <w:t>to</w:t>
      </w:r>
      <w:r w:rsidRPr="005C3CE4">
        <w:t xml:space="preserve"> </w:t>
      </w:r>
      <w:r w:rsidR="001A7E57" w:rsidRPr="005C3CE4">
        <w:t>EP</w:t>
      </w:r>
      <w:r w:rsidRPr="005C3CE4">
        <w:t xml:space="preserve"> (</w:t>
      </w:r>
      <w:r w:rsidRPr="005C3CE4">
        <w:rPr>
          <w:i/>
          <w:iCs/>
        </w:rPr>
        <w:t>r</w:t>
      </w:r>
      <w:r w:rsidRPr="005C3CE4">
        <w:t xml:space="preserve"> = -0.538, 95%CI = -0.792–0.136) and inertia of </w:t>
      </w:r>
      <w:r w:rsidR="001A7E57" w:rsidRPr="005C3CE4">
        <w:t>EP</w:t>
      </w:r>
      <w:r w:rsidRPr="005C3CE4">
        <w:t xml:space="preserve"> (</w:t>
      </w:r>
      <w:r w:rsidRPr="005C3CE4">
        <w:rPr>
          <w:i/>
          <w:iCs/>
        </w:rPr>
        <w:t>r</w:t>
      </w:r>
      <w:r w:rsidRPr="005C3CE4">
        <w:t xml:space="preserve"> = -0.430, 95%CI = -0.732–0.009).</w:t>
      </w:r>
    </w:p>
    <w:p w14:paraId="3A982293" w14:textId="79732489" w:rsidR="00500BF5" w:rsidRDefault="00500BF5" w:rsidP="00500BF5">
      <w:pPr>
        <w:pStyle w:val="BodyText"/>
      </w:pPr>
    </w:p>
    <w:p w14:paraId="514D9261" w14:textId="27F581C2" w:rsidR="00500BF5" w:rsidRDefault="00500BF5" w:rsidP="00500BF5">
      <w:pPr>
        <w:pStyle w:val="BodyText"/>
      </w:pPr>
    </w:p>
    <w:p w14:paraId="107FC63F" w14:textId="10E51F67" w:rsidR="00500BF5" w:rsidRDefault="00500BF5" w:rsidP="00500BF5">
      <w:pPr>
        <w:pStyle w:val="BodyText"/>
      </w:pPr>
    </w:p>
    <w:p w14:paraId="40F274F4" w14:textId="307D99DF" w:rsidR="00500BF5" w:rsidRDefault="00500BF5" w:rsidP="00500BF5">
      <w:pPr>
        <w:pStyle w:val="BodyText"/>
      </w:pPr>
    </w:p>
    <w:p w14:paraId="5D84C2B2" w14:textId="492E19D4" w:rsidR="00500BF5" w:rsidRDefault="00500BF5" w:rsidP="00500BF5">
      <w:pPr>
        <w:pStyle w:val="BodyText"/>
      </w:pPr>
    </w:p>
    <w:p w14:paraId="08A1BAD4" w14:textId="3F88FE34" w:rsidR="00500BF5" w:rsidRDefault="00500BF5" w:rsidP="00500BF5">
      <w:pPr>
        <w:pStyle w:val="BodyText"/>
      </w:pPr>
    </w:p>
    <w:p w14:paraId="058CEAA9" w14:textId="0A12F9BD" w:rsidR="00500BF5" w:rsidRDefault="00500BF5" w:rsidP="00500BF5">
      <w:pPr>
        <w:pStyle w:val="BodyText"/>
      </w:pPr>
    </w:p>
    <w:p w14:paraId="15037ECF" w14:textId="4224990D" w:rsidR="00500BF5" w:rsidRDefault="00500BF5" w:rsidP="00500BF5">
      <w:pPr>
        <w:pStyle w:val="BodyText"/>
      </w:pPr>
    </w:p>
    <w:p w14:paraId="11105700" w14:textId="77777777" w:rsidR="00500BF5" w:rsidRPr="00500BF5" w:rsidRDefault="00500BF5" w:rsidP="00500BF5">
      <w:pPr>
        <w:pStyle w:val="BodyText"/>
      </w:pPr>
    </w:p>
    <w:p w14:paraId="6C8515EC" w14:textId="49C5AC8D" w:rsidR="002011C4" w:rsidRPr="002011C4" w:rsidRDefault="00FD122F" w:rsidP="00FD122F">
      <w:pPr>
        <w:pStyle w:val="BodyText"/>
        <w:ind w:firstLine="0"/>
        <w:rPr>
          <w:b/>
          <w:bCs/>
        </w:rPr>
      </w:pPr>
      <w:r w:rsidRPr="002011C4">
        <w:rPr>
          <w:b/>
          <w:bCs/>
        </w:rPr>
        <w:lastRenderedPageBreak/>
        <w:t xml:space="preserve">Table </w:t>
      </w:r>
      <w:r w:rsidR="00782049" w:rsidRPr="002011C4">
        <w:rPr>
          <w:b/>
          <w:bCs/>
        </w:rPr>
        <w:t>3</w:t>
      </w:r>
    </w:p>
    <w:p w14:paraId="103BE749" w14:textId="3F7982FA" w:rsidR="00FD122F" w:rsidRPr="005C3CE4" w:rsidRDefault="00CB39C9" w:rsidP="00FD122F">
      <w:pPr>
        <w:pStyle w:val="BodyText"/>
        <w:ind w:firstLine="0"/>
      </w:pPr>
      <w:r w:rsidRPr="005C3CE4">
        <w:t xml:space="preserve">Correlation between random effects </w:t>
      </w:r>
      <w:r w:rsidR="00FD122F" w:rsidRPr="005C3CE4">
        <w:t>(</w:t>
      </w:r>
      <w:r w:rsidR="00FD122F" w:rsidRPr="005C3CE4">
        <w:rPr>
          <w:i/>
          <w:iCs/>
        </w:rPr>
        <w:t>N</w:t>
      </w:r>
      <w:r w:rsidR="00FD122F" w:rsidRPr="005C3CE4">
        <w:t xml:space="preserve"> = 63)</w:t>
      </w:r>
      <w:r w:rsidR="002011C4">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9"/>
        <w:gridCol w:w="1260"/>
        <w:gridCol w:w="1255"/>
        <w:gridCol w:w="1255"/>
        <w:gridCol w:w="1260"/>
        <w:gridCol w:w="1255"/>
        <w:gridCol w:w="502"/>
      </w:tblGrid>
      <w:tr w:rsidR="00FD122F" w:rsidRPr="005C3CE4" w14:paraId="175841E2" w14:textId="77777777" w:rsidTr="00763522">
        <w:tc>
          <w:tcPr>
            <w:tcW w:w="1392" w:type="pct"/>
            <w:tcBorders>
              <w:top w:val="single" w:sz="4" w:space="0" w:color="000000"/>
              <w:bottom w:val="single" w:sz="4" w:space="0" w:color="000000"/>
            </w:tcBorders>
          </w:tcPr>
          <w:p w14:paraId="7A15AC32" w14:textId="0BF4100E" w:rsidR="00FD122F" w:rsidRPr="005C3CE4" w:rsidRDefault="00FD122F" w:rsidP="00C07BE2">
            <w:pPr>
              <w:spacing w:before="0" w:after="0" w:line="240" w:lineRule="auto"/>
            </w:pPr>
            <w:r w:rsidRPr="005C3CE4">
              <w:t>Variable</w:t>
            </w:r>
          </w:p>
        </w:tc>
        <w:tc>
          <w:tcPr>
            <w:tcW w:w="670" w:type="pct"/>
            <w:tcBorders>
              <w:top w:val="single" w:sz="4" w:space="0" w:color="000000"/>
              <w:bottom w:val="single" w:sz="4" w:space="0" w:color="000000"/>
            </w:tcBorders>
          </w:tcPr>
          <w:p w14:paraId="2C7BEE61" w14:textId="77777777" w:rsidR="00FD122F" w:rsidRPr="005C3CE4" w:rsidRDefault="00FD122F" w:rsidP="00C07BE2">
            <w:pPr>
              <w:spacing w:before="0" w:after="0" w:line="240" w:lineRule="auto"/>
              <w:jc w:val="center"/>
            </w:pPr>
            <w:r w:rsidRPr="005C3CE4">
              <w:t>1</w:t>
            </w:r>
          </w:p>
        </w:tc>
        <w:tc>
          <w:tcPr>
            <w:tcW w:w="667" w:type="pct"/>
            <w:tcBorders>
              <w:top w:val="single" w:sz="4" w:space="0" w:color="000000"/>
              <w:bottom w:val="single" w:sz="4" w:space="0" w:color="000000"/>
            </w:tcBorders>
          </w:tcPr>
          <w:p w14:paraId="2974CE97" w14:textId="77777777" w:rsidR="00FD122F" w:rsidRPr="005C3CE4" w:rsidRDefault="00FD122F" w:rsidP="00C07BE2">
            <w:pPr>
              <w:spacing w:before="0" w:after="0" w:line="240" w:lineRule="auto"/>
              <w:jc w:val="center"/>
            </w:pPr>
            <w:r w:rsidRPr="005C3CE4">
              <w:t>2</w:t>
            </w:r>
          </w:p>
        </w:tc>
        <w:tc>
          <w:tcPr>
            <w:tcW w:w="667" w:type="pct"/>
            <w:tcBorders>
              <w:top w:val="single" w:sz="4" w:space="0" w:color="000000"/>
              <w:bottom w:val="single" w:sz="4" w:space="0" w:color="000000"/>
            </w:tcBorders>
          </w:tcPr>
          <w:p w14:paraId="0126380C" w14:textId="77777777" w:rsidR="00FD122F" w:rsidRPr="005C3CE4" w:rsidRDefault="00FD122F" w:rsidP="00C07BE2">
            <w:pPr>
              <w:spacing w:before="0" w:after="0" w:line="240" w:lineRule="auto"/>
              <w:jc w:val="center"/>
            </w:pPr>
            <w:r w:rsidRPr="005C3CE4">
              <w:t>3</w:t>
            </w:r>
          </w:p>
        </w:tc>
        <w:tc>
          <w:tcPr>
            <w:tcW w:w="670" w:type="pct"/>
            <w:tcBorders>
              <w:top w:val="single" w:sz="4" w:space="0" w:color="000000"/>
              <w:bottom w:val="single" w:sz="4" w:space="0" w:color="000000"/>
            </w:tcBorders>
          </w:tcPr>
          <w:p w14:paraId="3240D8E3" w14:textId="77777777" w:rsidR="00FD122F" w:rsidRPr="005C3CE4" w:rsidRDefault="00FD122F" w:rsidP="00C07BE2">
            <w:pPr>
              <w:spacing w:before="0" w:after="0" w:line="240" w:lineRule="auto"/>
              <w:jc w:val="center"/>
            </w:pPr>
            <w:r w:rsidRPr="005C3CE4">
              <w:t>4</w:t>
            </w:r>
          </w:p>
        </w:tc>
        <w:tc>
          <w:tcPr>
            <w:tcW w:w="667" w:type="pct"/>
            <w:tcBorders>
              <w:top w:val="single" w:sz="4" w:space="0" w:color="000000"/>
              <w:bottom w:val="single" w:sz="4" w:space="0" w:color="000000"/>
            </w:tcBorders>
          </w:tcPr>
          <w:p w14:paraId="7CCD3C9A" w14:textId="77777777" w:rsidR="00FD122F" w:rsidRPr="005C3CE4" w:rsidRDefault="00FD122F" w:rsidP="00C07BE2">
            <w:pPr>
              <w:spacing w:before="0" w:after="0" w:line="240" w:lineRule="auto"/>
              <w:jc w:val="center"/>
            </w:pPr>
            <w:r w:rsidRPr="005C3CE4">
              <w:t>5</w:t>
            </w:r>
          </w:p>
        </w:tc>
        <w:tc>
          <w:tcPr>
            <w:tcW w:w="267" w:type="pct"/>
            <w:tcBorders>
              <w:top w:val="single" w:sz="4" w:space="0" w:color="000000"/>
              <w:bottom w:val="single" w:sz="4" w:space="0" w:color="000000"/>
            </w:tcBorders>
          </w:tcPr>
          <w:p w14:paraId="689AD7DE" w14:textId="77777777" w:rsidR="00FD122F" w:rsidRPr="005C3CE4" w:rsidRDefault="00FD122F" w:rsidP="00C07BE2">
            <w:pPr>
              <w:spacing w:before="0" w:after="0" w:line="240" w:lineRule="auto"/>
              <w:jc w:val="center"/>
            </w:pPr>
            <w:r w:rsidRPr="005C3CE4">
              <w:t>6</w:t>
            </w:r>
          </w:p>
        </w:tc>
      </w:tr>
      <w:tr w:rsidR="00FD122F" w:rsidRPr="005C3CE4" w14:paraId="5521ED65" w14:textId="77777777" w:rsidTr="00763522">
        <w:tc>
          <w:tcPr>
            <w:tcW w:w="1392" w:type="pct"/>
            <w:tcBorders>
              <w:top w:val="single" w:sz="4" w:space="0" w:color="000000"/>
            </w:tcBorders>
          </w:tcPr>
          <w:p w14:paraId="2FE43399" w14:textId="5326F3AF" w:rsidR="00FD122F" w:rsidRPr="005C3CE4" w:rsidRDefault="00FD122F" w:rsidP="00C07BE2">
            <w:pPr>
              <w:spacing w:before="0" w:after="0" w:line="240" w:lineRule="auto"/>
            </w:pPr>
            <w:r w:rsidRPr="005C3CE4">
              <w:rPr>
                <w:rFonts w:cs="Times New Roman"/>
              </w:rPr>
              <w:t xml:space="preserve">1 </w:t>
            </w:r>
            <w:r w:rsidRPr="005C3CE4">
              <w:rPr>
                <w:rFonts w:cs="Times New Roman"/>
                <w:lang w:val="el-GR"/>
              </w:rPr>
              <w:t>μ</w:t>
            </w:r>
            <w:r w:rsidR="00591691" w:rsidRPr="00591691">
              <w:rPr>
                <w:rFonts w:cs="Times New Roman"/>
                <w:vertAlign w:val="subscript"/>
              </w:rPr>
              <w:t>ep</w:t>
            </w:r>
            <w:r w:rsidRPr="005C3CE4">
              <w:rPr>
                <w:rFonts w:cs="Times New Roman"/>
                <w:vertAlign w:val="subscript"/>
              </w:rPr>
              <w:t>i</w:t>
            </w:r>
          </w:p>
        </w:tc>
        <w:tc>
          <w:tcPr>
            <w:tcW w:w="670" w:type="pct"/>
            <w:tcBorders>
              <w:top w:val="single" w:sz="4" w:space="0" w:color="000000"/>
            </w:tcBorders>
          </w:tcPr>
          <w:p w14:paraId="609C4CC5" w14:textId="77777777" w:rsidR="00FD122F" w:rsidRPr="005C3CE4" w:rsidRDefault="00FD122F" w:rsidP="00C07BE2">
            <w:pPr>
              <w:spacing w:before="0" w:after="0" w:line="240" w:lineRule="auto"/>
              <w:jc w:val="center"/>
            </w:pPr>
            <w:r w:rsidRPr="005C3CE4">
              <w:t>-</w:t>
            </w:r>
          </w:p>
        </w:tc>
        <w:tc>
          <w:tcPr>
            <w:tcW w:w="667" w:type="pct"/>
            <w:tcBorders>
              <w:top w:val="single" w:sz="4" w:space="0" w:color="000000"/>
            </w:tcBorders>
          </w:tcPr>
          <w:p w14:paraId="673A19C0" w14:textId="77777777" w:rsidR="00FD122F" w:rsidRPr="005C3CE4" w:rsidRDefault="00FD122F" w:rsidP="00C07BE2">
            <w:pPr>
              <w:spacing w:before="0" w:after="0" w:line="240" w:lineRule="auto"/>
              <w:jc w:val="center"/>
            </w:pPr>
          </w:p>
        </w:tc>
        <w:tc>
          <w:tcPr>
            <w:tcW w:w="667" w:type="pct"/>
            <w:tcBorders>
              <w:top w:val="single" w:sz="4" w:space="0" w:color="000000"/>
            </w:tcBorders>
          </w:tcPr>
          <w:p w14:paraId="3AFAC214" w14:textId="77777777" w:rsidR="00FD122F" w:rsidRPr="005C3CE4" w:rsidRDefault="00FD122F" w:rsidP="00C07BE2">
            <w:pPr>
              <w:spacing w:before="0" w:after="0" w:line="240" w:lineRule="auto"/>
              <w:jc w:val="center"/>
            </w:pPr>
          </w:p>
        </w:tc>
        <w:tc>
          <w:tcPr>
            <w:tcW w:w="670" w:type="pct"/>
            <w:tcBorders>
              <w:top w:val="single" w:sz="4" w:space="0" w:color="000000"/>
            </w:tcBorders>
          </w:tcPr>
          <w:p w14:paraId="40F43F40" w14:textId="77777777" w:rsidR="00FD122F" w:rsidRPr="005C3CE4" w:rsidRDefault="00FD122F" w:rsidP="00C07BE2">
            <w:pPr>
              <w:spacing w:before="0" w:after="0" w:line="240" w:lineRule="auto"/>
              <w:jc w:val="center"/>
            </w:pPr>
          </w:p>
        </w:tc>
        <w:tc>
          <w:tcPr>
            <w:tcW w:w="667" w:type="pct"/>
            <w:tcBorders>
              <w:top w:val="single" w:sz="4" w:space="0" w:color="000000"/>
            </w:tcBorders>
          </w:tcPr>
          <w:p w14:paraId="752B46C0" w14:textId="77777777" w:rsidR="00FD122F" w:rsidRPr="005C3CE4" w:rsidRDefault="00FD122F" w:rsidP="00C07BE2">
            <w:pPr>
              <w:spacing w:before="0" w:after="0" w:line="240" w:lineRule="auto"/>
              <w:jc w:val="center"/>
            </w:pPr>
          </w:p>
        </w:tc>
        <w:tc>
          <w:tcPr>
            <w:tcW w:w="267" w:type="pct"/>
            <w:tcBorders>
              <w:top w:val="single" w:sz="4" w:space="0" w:color="000000"/>
            </w:tcBorders>
          </w:tcPr>
          <w:p w14:paraId="18461F0D" w14:textId="77777777" w:rsidR="00FD122F" w:rsidRPr="005C3CE4" w:rsidRDefault="00FD122F" w:rsidP="00C07BE2">
            <w:pPr>
              <w:spacing w:before="0" w:after="0" w:line="240" w:lineRule="auto"/>
              <w:jc w:val="center"/>
            </w:pPr>
          </w:p>
        </w:tc>
      </w:tr>
      <w:tr w:rsidR="00FD122F" w:rsidRPr="005C3CE4" w14:paraId="292EBA2E" w14:textId="77777777" w:rsidTr="00763522">
        <w:tc>
          <w:tcPr>
            <w:tcW w:w="1392" w:type="pct"/>
          </w:tcPr>
          <w:p w14:paraId="119D13F6" w14:textId="1C5E3848" w:rsidR="00FD122F" w:rsidRPr="005C3CE4" w:rsidRDefault="00FD122F" w:rsidP="00C07BE2">
            <w:pPr>
              <w:spacing w:before="0" w:after="0" w:line="240" w:lineRule="auto"/>
            </w:pPr>
            <w:r w:rsidRPr="005C3CE4">
              <w:rPr>
                <w:rFonts w:cs="Times New Roman"/>
              </w:rPr>
              <w:t xml:space="preserve">2 </w:t>
            </w:r>
            <w:r w:rsidRPr="005C3CE4">
              <w:rPr>
                <w:rFonts w:cs="Times New Roman"/>
                <w:lang w:val="el-GR"/>
              </w:rPr>
              <w:t>μ</w:t>
            </w:r>
            <w:proofErr w:type="spellStart"/>
            <w:r w:rsidR="00591691">
              <w:rPr>
                <w:rFonts w:cs="Times New Roman"/>
                <w:vertAlign w:val="subscript"/>
              </w:rPr>
              <w:t>mf</w:t>
            </w:r>
            <w:r w:rsidRPr="005C3CE4">
              <w:rPr>
                <w:rFonts w:cs="Times New Roman"/>
                <w:vertAlign w:val="subscript"/>
              </w:rPr>
              <w:t>i</w:t>
            </w:r>
            <w:proofErr w:type="spellEnd"/>
          </w:p>
        </w:tc>
        <w:tc>
          <w:tcPr>
            <w:tcW w:w="670" w:type="pct"/>
          </w:tcPr>
          <w:p w14:paraId="521376CB" w14:textId="3D9798A4" w:rsidR="00FD122F" w:rsidRPr="005C3CE4" w:rsidRDefault="00FD122F" w:rsidP="00C07BE2">
            <w:pPr>
              <w:spacing w:before="0" w:after="0" w:line="240" w:lineRule="auto"/>
              <w:jc w:val="center"/>
            </w:pPr>
            <w:r w:rsidRPr="005C3CE4">
              <w:t>0.379</w:t>
            </w:r>
            <w:r w:rsidR="00763522" w:rsidRPr="005C3CE4">
              <w:t>*</w:t>
            </w:r>
          </w:p>
        </w:tc>
        <w:tc>
          <w:tcPr>
            <w:tcW w:w="667" w:type="pct"/>
          </w:tcPr>
          <w:p w14:paraId="4FC12CF3" w14:textId="77777777" w:rsidR="00FD122F" w:rsidRPr="005C3CE4" w:rsidRDefault="00FD122F" w:rsidP="00C07BE2">
            <w:pPr>
              <w:spacing w:before="0" w:after="0" w:line="240" w:lineRule="auto"/>
              <w:jc w:val="center"/>
            </w:pPr>
            <w:r w:rsidRPr="005C3CE4">
              <w:t>-</w:t>
            </w:r>
          </w:p>
        </w:tc>
        <w:tc>
          <w:tcPr>
            <w:tcW w:w="667" w:type="pct"/>
          </w:tcPr>
          <w:p w14:paraId="40E65300" w14:textId="77777777" w:rsidR="00FD122F" w:rsidRPr="005C3CE4" w:rsidRDefault="00FD122F" w:rsidP="00C07BE2">
            <w:pPr>
              <w:spacing w:before="0" w:after="0" w:line="240" w:lineRule="auto"/>
              <w:jc w:val="center"/>
            </w:pPr>
          </w:p>
        </w:tc>
        <w:tc>
          <w:tcPr>
            <w:tcW w:w="670" w:type="pct"/>
          </w:tcPr>
          <w:p w14:paraId="5F0AEFFB" w14:textId="77777777" w:rsidR="00FD122F" w:rsidRPr="005C3CE4" w:rsidRDefault="00FD122F" w:rsidP="00C07BE2">
            <w:pPr>
              <w:spacing w:before="0" w:after="0" w:line="240" w:lineRule="auto"/>
              <w:jc w:val="center"/>
            </w:pPr>
          </w:p>
        </w:tc>
        <w:tc>
          <w:tcPr>
            <w:tcW w:w="667" w:type="pct"/>
          </w:tcPr>
          <w:p w14:paraId="41A546E0" w14:textId="77777777" w:rsidR="00FD122F" w:rsidRPr="005C3CE4" w:rsidRDefault="00FD122F" w:rsidP="00C07BE2">
            <w:pPr>
              <w:spacing w:before="0" w:after="0" w:line="240" w:lineRule="auto"/>
              <w:jc w:val="center"/>
            </w:pPr>
          </w:p>
        </w:tc>
        <w:tc>
          <w:tcPr>
            <w:tcW w:w="267" w:type="pct"/>
          </w:tcPr>
          <w:p w14:paraId="7C9CDF48" w14:textId="77777777" w:rsidR="00FD122F" w:rsidRPr="005C3CE4" w:rsidRDefault="00FD122F" w:rsidP="00C07BE2">
            <w:pPr>
              <w:spacing w:before="0" w:after="0" w:line="240" w:lineRule="auto"/>
              <w:jc w:val="center"/>
            </w:pPr>
          </w:p>
        </w:tc>
      </w:tr>
      <w:tr w:rsidR="00FD122F" w:rsidRPr="005C3CE4" w14:paraId="28D785D0" w14:textId="77777777" w:rsidTr="00763522">
        <w:tc>
          <w:tcPr>
            <w:tcW w:w="1392" w:type="pct"/>
          </w:tcPr>
          <w:p w14:paraId="00A93548" w14:textId="77777777" w:rsidR="00FD122F" w:rsidRPr="005C3CE4" w:rsidRDefault="00FD122F" w:rsidP="00C07BE2">
            <w:pPr>
              <w:spacing w:before="0" w:after="0" w:line="240" w:lineRule="auto"/>
              <w:rPr>
                <w:rFonts w:cs="Times New Roman"/>
              </w:rPr>
            </w:pPr>
            <w:r w:rsidRPr="005C3CE4">
              <w:rPr>
                <w:rFonts w:cs="Times New Roman"/>
              </w:rPr>
              <w:t xml:space="preserve">3 </w:t>
            </w:r>
            <w:r w:rsidRPr="005C3CE4">
              <w:rPr>
                <w:rFonts w:cs="Times New Roman"/>
                <w:lang w:val="el-GR"/>
              </w:rPr>
              <w:t>β</w:t>
            </w:r>
            <w:proofErr w:type="spellStart"/>
            <w:r w:rsidRPr="005C3CE4">
              <w:rPr>
                <w:rFonts w:cs="Times New Roman"/>
                <w:vertAlign w:val="subscript"/>
              </w:rPr>
              <w:t>em</w:t>
            </w:r>
            <w:proofErr w:type="spellEnd"/>
          </w:p>
        </w:tc>
        <w:tc>
          <w:tcPr>
            <w:tcW w:w="670" w:type="pct"/>
          </w:tcPr>
          <w:p w14:paraId="766DB1F7" w14:textId="77777777" w:rsidR="00FD122F" w:rsidRPr="005C3CE4" w:rsidRDefault="00FD122F" w:rsidP="00C07BE2">
            <w:pPr>
              <w:spacing w:before="0" w:after="0" w:line="240" w:lineRule="auto"/>
              <w:jc w:val="center"/>
            </w:pPr>
            <w:r w:rsidRPr="005C3CE4">
              <w:t>-0.190</w:t>
            </w:r>
          </w:p>
        </w:tc>
        <w:tc>
          <w:tcPr>
            <w:tcW w:w="667" w:type="pct"/>
          </w:tcPr>
          <w:p w14:paraId="69515461" w14:textId="77777777" w:rsidR="00FD122F" w:rsidRPr="005C3CE4" w:rsidRDefault="00FD122F" w:rsidP="00C07BE2">
            <w:pPr>
              <w:spacing w:before="0" w:after="0" w:line="240" w:lineRule="auto"/>
              <w:jc w:val="center"/>
            </w:pPr>
            <w:r w:rsidRPr="005C3CE4">
              <w:t>0.281</w:t>
            </w:r>
          </w:p>
        </w:tc>
        <w:tc>
          <w:tcPr>
            <w:tcW w:w="667" w:type="pct"/>
          </w:tcPr>
          <w:p w14:paraId="701EF829" w14:textId="77777777" w:rsidR="00FD122F" w:rsidRPr="005C3CE4" w:rsidRDefault="00FD122F" w:rsidP="00C07BE2">
            <w:pPr>
              <w:spacing w:before="0" w:after="0" w:line="240" w:lineRule="auto"/>
              <w:jc w:val="center"/>
            </w:pPr>
            <w:r w:rsidRPr="005C3CE4">
              <w:t>-</w:t>
            </w:r>
          </w:p>
        </w:tc>
        <w:tc>
          <w:tcPr>
            <w:tcW w:w="670" w:type="pct"/>
          </w:tcPr>
          <w:p w14:paraId="6F231E73" w14:textId="77777777" w:rsidR="00FD122F" w:rsidRPr="005C3CE4" w:rsidRDefault="00FD122F" w:rsidP="00C07BE2">
            <w:pPr>
              <w:spacing w:before="0" w:after="0" w:line="240" w:lineRule="auto"/>
              <w:jc w:val="center"/>
            </w:pPr>
          </w:p>
        </w:tc>
        <w:tc>
          <w:tcPr>
            <w:tcW w:w="667" w:type="pct"/>
          </w:tcPr>
          <w:p w14:paraId="31540ECD" w14:textId="77777777" w:rsidR="00FD122F" w:rsidRPr="005C3CE4" w:rsidRDefault="00FD122F" w:rsidP="00C07BE2">
            <w:pPr>
              <w:spacing w:before="0" w:after="0" w:line="240" w:lineRule="auto"/>
              <w:jc w:val="center"/>
            </w:pPr>
          </w:p>
        </w:tc>
        <w:tc>
          <w:tcPr>
            <w:tcW w:w="267" w:type="pct"/>
          </w:tcPr>
          <w:p w14:paraId="00C88D0B" w14:textId="77777777" w:rsidR="00FD122F" w:rsidRPr="005C3CE4" w:rsidRDefault="00FD122F" w:rsidP="00C07BE2">
            <w:pPr>
              <w:spacing w:before="0" w:after="0" w:line="240" w:lineRule="auto"/>
              <w:jc w:val="center"/>
            </w:pPr>
          </w:p>
        </w:tc>
      </w:tr>
      <w:tr w:rsidR="00FD122F" w:rsidRPr="005C3CE4" w14:paraId="70159FD9" w14:textId="77777777" w:rsidTr="00763522">
        <w:tc>
          <w:tcPr>
            <w:tcW w:w="1392" w:type="pct"/>
          </w:tcPr>
          <w:p w14:paraId="6F35337C" w14:textId="77777777" w:rsidR="00FD122F" w:rsidRPr="005C3CE4" w:rsidRDefault="00FD122F" w:rsidP="00C07BE2">
            <w:pPr>
              <w:spacing w:before="0" w:after="0" w:line="240" w:lineRule="auto"/>
              <w:rPr>
                <w:rFonts w:cs="Times New Roman"/>
              </w:rPr>
            </w:pPr>
            <w:r w:rsidRPr="005C3CE4">
              <w:rPr>
                <w:rFonts w:cs="Times New Roman"/>
              </w:rPr>
              <w:t xml:space="preserve">4 </w:t>
            </w:r>
            <w:r w:rsidRPr="005C3CE4">
              <w:rPr>
                <w:rFonts w:cs="Times New Roman"/>
                <w:lang w:val="el-GR"/>
              </w:rPr>
              <w:t>Φ</w:t>
            </w:r>
            <w:r w:rsidRPr="005C3CE4">
              <w:rPr>
                <w:rFonts w:cs="Times New Roman"/>
                <w:vertAlign w:val="subscript"/>
              </w:rPr>
              <w:t>mm</w:t>
            </w:r>
          </w:p>
        </w:tc>
        <w:tc>
          <w:tcPr>
            <w:tcW w:w="670" w:type="pct"/>
          </w:tcPr>
          <w:p w14:paraId="670506DB" w14:textId="6A23B158" w:rsidR="00FD122F" w:rsidRPr="005C3CE4" w:rsidRDefault="00FD122F" w:rsidP="00C07BE2">
            <w:pPr>
              <w:spacing w:before="0" w:after="0" w:line="240" w:lineRule="auto"/>
              <w:jc w:val="center"/>
            </w:pPr>
            <w:r w:rsidRPr="005C3CE4">
              <w:t>0.582</w:t>
            </w:r>
            <w:r w:rsidR="00763522" w:rsidRPr="005C3CE4">
              <w:t>**</w:t>
            </w:r>
          </w:p>
        </w:tc>
        <w:tc>
          <w:tcPr>
            <w:tcW w:w="667" w:type="pct"/>
          </w:tcPr>
          <w:p w14:paraId="46E4E9E2" w14:textId="77777777" w:rsidR="00FD122F" w:rsidRPr="005C3CE4" w:rsidRDefault="00FD122F" w:rsidP="00C07BE2">
            <w:pPr>
              <w:spacing w:before="0" w:after="0" w:line="240" w:lineRule="auto"/>
              <w:jc w:val="center"/>
            </w:pPr>
            <w:r w:rsidRPr="005C3CE4">
              <w:t>0.105</w:t>
            </w:r>
          </w:p>
        </w:tc>
        <w:tc>
          <w:tcPr>
            <w:tcW w:w="667" w:type="pct"/>
          </w:tcPr>
          <w:p w14:paraId="56ED5346" w14:textId="77777777" w:rsidR="00FD122F" w:rsidRPr="005C3CE4" w:rsidRDefault="00FD122F" w:rsidP="00C07BE2">
            <w:pPr>
              <w:spacing w:before="0" w:after="0" w:line="240" w:lineRule="auto"/>
              <w:jc w:val="center"/>
            </w:pPr>
            <w:r w:rsidRPr="005C3CE4">
              <w:t>0.022</w:t>
            </w:r>
          </w:p>
        </w:tc>
        <w:tc>
          <w:tcPr>
            <w:tcW w:w="670" w:type="pct"/>
          </w:tcPr>
          <w:p w14:paraId="69A08BE7" w14:textId="77777777" w:rsidR="00FD122F" w:rsidRPr="005C3CE4" w:rsidRDefault="00FD122F" w:rsidP="00C07BE2">
            <w:pPr>
              <w:spacing w:before="0" w:after="0" w:line="240" w:lineRule="auto"/>
              <w:jc w:val="center"/>
            </w:pPr>
            <w:r w:rsidRPr="005C3CE4">
              <w:t>-</w:t>
            </w:r>
          </w:p>
        </w:tc>
        <w:tc>
          <w:tcPr>
            <w:tcW w:w="667" w:type="pct"/>
          </w:tcPr>
          <w:p w14:paraId="4F241733" w14:textId="77777777" w:rsidR="00FD122F" w:rsidRPr="005C3CE4" w:rsidRDefault="00FD122F" w:rsidP="00C07BE2">
            <w:pPr>
              <w:spacing w:before="0" w:after="0" w:line="240" w:lineRule="auto"/>
              <w:jc w:val="center"/>
            </w:pPr>
          </w:p>
        </w:tc>
        <w:tc>
          <w:tcPr>
            <w:tcW w:w="267" w:type="pct"/>
          </w:tcPr>
          <w:p w14:paraId="369AEA27" w14:textId="77777777" w:rsidR="00FD122F" w:rsidRPr="005C3CE4" w:rsidRDefault="00FD122F" w:rsidP="00C07BE2">
            <w:pPr>
              <w:spacing w:before="0" w:after="0" w:line="240" w:lineRule="auto"/>
              <w:jc w:val="center"/>
            </w:pPr>
          </w:p>
        </w:tc>
      </w:tr>
      <w:tr w:rsidR="00FD122F" w:rsidRPr="005C3CE4" w14:paraId="7308426C" w14:textId="77777777" w:rsidTr="00763522">
        <w:tc>
          <w:tcPr>
            <w:tcW w:w="1392" w:type="pct"/>
          </w:tcPr>
          <w:p w14:paraId="08A24531" w14:textId="77777777" w:rsidR="00FD122F" w:rsidRPr="005C3CE4" w:rsidRDefault="00FD122F" w:rsidP="00C07BE2">
            <w:pPr>
              <w:spacing w:before="0" w:after="0" w:line="240" w:lineRule="auto"/>
              <w:rPr>
                <w:rFonts w:cs="Times New Roman"/>
              </w:rPr>
            </w:pPr>
            <w:r w:rsidRPr="005C3CE4">
              <w:rPr>
                <w:rFonts w:cs="Times New Roman"/>
              </w:rPr>
              <w:t xml:space="preserve">5 </w:t>
            </w:r>
            <w:r w:rsidRPr="005C3CE4">
              <w:rPr>
                <w:rFonts w:cs="Times New Roman"/>
                <w:lang w:val="el-GR"/>
              </w:rPr>
              <w:t>β</w:t>
            </w:r>
            <w:r w:rsidRPr="005C3CE4">
              <w:rPr>
                <w:rFonts w:cs="Times New Roman"/>
                <w:vertAlign w:val="subscript"/>
              </w:rPr>
              <w:t>me</w:t>
            </w:r>
          </w:p>
        </w:tc>
        <w:tc>
          <w:tcPr>
            <w:tcW w:w="670" w:type="pct"/>
          </w:tcPr>
          <w:p w14:paraId="544517EE" w14:textId="79DEDA3D" w:rsidR="00FD122F" w:rsidRPr="005C3CE4" w:rsidRDefault="00FD122F" w:rsidP="00C07BE2">
            <w:pPr>
              <w:spacing w:before="0" w:after="0" w:line="240" w:lineRule="auto"/>
              <w:jc w:val="center"/>
            </w:pPr>
            <w:r w:rsidRPr="005C3CE4">
              <w:t>-0.862</w:t>
            </w:r>
            <w:r w:rsidR="00763522" w:rsidRPr="005C3CE4">
              <w:t>***</w:t>
            </w:r>
          </w:p>
        </w:tc>
        <w:tc>
          <w:tcPr>
            <w:tcW w:w="667" w:type="pct"/>
          </w:tcPr>
          <w:p w14:paraId="79B3E8F6" w14:textId="77777777" w:rsidR="00FD122F" w:rsidRPr="005C3CE4" w:rsidRDefault="00FD122F" w:rsidP="00C07BE2">
            <w:pPr>
              <w:spacing w:before="0" w:after="0" w:line="240" w:lineRule="auto"/>
              <w:jc w:val="center"/>
            </w:pPr>
            <w:r w:rsidRPr="005C3CE4">
              <w:t>-0.293</w:t>
            </w:r>
          </w:p>
        </w:tc>
        <w:tc>
          <w:tcPr>
            <w:tcW w:w="667" w:type="pct"/>
          </w:tcPr>
          <w:p w14:paraId="05FD2DF7" w14:textId="77777777" w:rsidR="00FD122F" w:rsidRPr="005C3CE4" w:rsidRDefault="00FD122F" w:rsidP="00C07BE2">
            <w:pPr>
              <w:spacing w:before="0" w:after="0" w:line="240" w:lineRule="auto"/>
              <w:jc w:val="center"/>
            </w:pPr>
            <w:r w:rsidRPr="005C3CE4">
              <w:t>0.178</w:t>
            </w:r>
          </w:p>
        </w:tc>
        <w:tc>
          <w:tcPr>
            <w:tcW w:w="670" w:type="pct"/>
          </w:tcPr>
          <w:p w14:paraId="5CD9154D" w14:textId="1D875A37" w:rsidR="00FD122F" w:rsidRPr="005C3CE4" w:rsidRDefault="00FD122F" w:rsidP="00C07BE2">
            <w:pPr>
              <w:spacing w:before="0" w:after="0" w:line="240" w:lineRule="auto"/>
              <w:jc w:val="center"/>
            </w:pPr>
            <w:r w:rsidRPr="005C3CE4">
              <w:t>-0.538</w:t>
            </w:r>
            <w:r w:rsidR="00763522" w:rsidRPr="005C3CE4">
              <w:t>**</w:t>
            </w:r>
          </w:p>
        </w:tc>
        <w:tc>
          <w:tcPr>
            <w:tcW w:w="667" w:type="pct"/>
          </w:tcPr>
          <w:p w14:paraId="0F130A23" w14:textId="77777777" w:rsidR="00FD122F" w:rsidRPr="005C3CE4" w:rsidRDefault="00FD122F" w:rsidP="00C07BE2">
            <w:pPr>
              <w:spacing w:before="0" w:after="0" w:line="240" w:lineRule="auto"/>
              <w:jc w:val="center"/>
            </w:pPr>
            <w:r w:rsidRPr="005C3CE4">
              <w:t>-</w:t>
            </w:r>
          </w:p>
        </w:tc>
        <w:tc>
          <w:tcPr>
            <w:tcW w:w="267" w:type="pct"/>
          </w:tcPr>
          <w:p w14:paraId="6878880D" w14:textId="77777777" w:rsidR="00FD122F" w:rsidRPr="005C3CE4" w:rsidRDefault="00FD122F" w:rsidP="00C07BE2">
            <w:pPr>
              <w:spacing w:before="0" w:after="0" w:line="240" w:lineRule="auto"/>
              <w:jc w:val="center"/>
            </w:pPr>
          </w:p>
        </w:tc>
      </w:tr>
      <w:tr w:rsidR="00FD122F" w:rsidRPr="005C3CE4" w14:paraId="0F622E4C" w14:textId="77777777" w:rsidTr="00763522">
        <w:tc>
          <w:tcPr>
            <w:tcW w:w="1392" w:type="pct"/>
            <w:tcBorders>
              <w:bottom w:val="single" w:sz="4" w:space="0" w:color="000000"/>
            </w:tcBorders>
          </w:tcPr>
          <w:p w14:paraId="1EE91210" w14:textId="77777777" w:rsidR="00FD122F" w:rsidRPr="005C3CE4" w:rsidRDefault="00FD122F" w:rsidP="00C07BE2">
            <w:pPr>
              <w:spacing w:before="0" w:after="0" w:line="240" w:lineRule="auto"/>
              <w:rPr>
                <w:rFonts w:cs="Times New Roman"/>
              </w:rPr>
            </w:pPr>
            <w:r w:rsidRPr="005C3CE4">
              <w:rPr>
                <w:rFonts w:cs="Times New Roman"/>
              </w:rPr>
              <w:t xml:space="preserve">6 </w:t>
            </w:r>
            <w:r w:rsidRPr="005C3CE4">
              <w:rPr>
                <w:rFonts w:cs="Times New Roman"/>
                <w:lang w:val="el-GR"/>
              </w:rPr>
              <w:t>Φ</w:t>
            </w:r>
            <w:proofErr w:type="spellStart"/>
            <w:r w:rsidRPr="005C3CE4">
              <w:rPr>
                <w:rFonts w:cs="Times New Roman"/>
                <w:vertAlign w:val="subscript"/>
              </w:rPr>
              <w:t>ee</w:t>
            </w:r>
            <w:proofErr w:type="spellEnd"/>
          </w:p>
        </w:tc>
        <w:tc>
          <w:tcPr>
            <w:tcW w:w="670" w:type="pct"/>
            <w:tcBorders>
              <w:bottom w:val="single" w:sz="4" w:space="0" w:color="000000"/>
            </w:tcBorders>
          </w:tcPr>
          <w:p w14:paraId="6E66A7C8" w14:textId="77777777" w:rsidR="00FD122F" w:rsidRPr="005C3CE4" w:rsidRDefault="00FD122F" w:rsidP="00C07BE2">
            <w:pPr>
              <w:spacing w:before="0" w:after="0" w:line="240" w:lineRule="auto"/>
              <w:jc w:val="center"/>
            </w:pPr>
            <w:r w:rsidRPr="005C3CE4">
              <w:t>0.244</w:t>
            </w:r>
          </w:p>
        </w:tc>
        <w:tc>
          <w:tcPr>
            <w:tcW w:w="667" w:type="pct"/>
            <w:tcBorders>
              <w:bottom w:val="single" w:sz="4" w:space="0" w:color="000000"/>
            </w:tcBorders>
          </w:tcPr>
          <w:p w14:paraId="733F97CB" w14:textId="77777777" w:rsidR="00FD122F" w:rsidRPr="005C3CE4" w:rsidRDefault="00FD122F" w:rsidP="00C07BE2">
            <w:pPr>
              <w:spacing w:before="0" w:after="0" w:line="240" w:lineRule="auto"/>
              <w:jc w:val="center"/>
            </w:pPr>
            <w:r w:rsidRPr="005C3CE4">
              <w:t>0.106</w:t>
            </w:r>
          </w:p>
        </w:tc>
        <w:tc>
          <w:tcPr>
            <w:tcW w:w="667" w:type="pct"/>
            <w:tcBorders>
              <w:bottom w:val="single" w:sz="4" w:space="0" w:color="000000"/>
            </w:tcBorders>
          </w:tcPr>
          <w:p w14:paraId="69AF3590" w14:textId="77777777" w:rsidR="00FD122F" w:rsidRPr="005C3CE4" w:rsidRDefault="00FD122F" w:rsidP="00C07BE2">
            <w:pPr>
              <w:spacing w:before="0" w:after="0" w:line="240" w:lineRule="auto"/>
              <w:jc w:val="center"/>
            </w:pPr>
            <w:r w:rsidRPr="005C3CE4">
              <w:t>-0.174</w:t>
            </w:r>
          </w:p>
        </w:tc>
        <w:tc>
          <w:tcPr>
            <w:tcW w:w="670" w:type="pct"/>
            <w:tcBorders>
              <w:bottom w:val="single" w:sz="4" w:space="0" w:color="000000"/>
            </w:tcBorders>
          </w:tcPr>
          <w:p w14:paraId="01A6C808" w14:textId="13A85B9C" w:rsidR="00FD122F" w:rsidRPr="005C3CE4" w:rsidRDefault="00FD122F" w:rsidP="00C07BE2">
            <w:pPr>
              <w:spacing w:before="0" w:after="0" w:line="240" w:lineRule="auto"/>
              <w:jc w:val="center"/>
            </w:pPr>
            <w:r w:rsidRPr="005C3CE4">
              <w:t>-0.430</w:t>
            </w:r>
            <w:r w:rsidR="00763522" w:rsidRPr="005C3CE4">
              <w:t>*</w:t>
            </w:r>
          </w:p>
        </w:tc>
        <w:tc>
          <w:tcPr>
            <w:tcW w:w="667" w:type="pct"/>
            <w:tcBorders>
              <w:bottom w:val="single" w:sz="4" w:space="0" w:color="000000"/>
            </w:tcBorders>
          </w:tcPr>
          <w:p w14:paraId="765491E7" w14:textId="77777777" w:rsidR="00FD122F" w:rsidRPr="005C3CE4" w:rsidRDefault="00FD122F" w:rsidP="00C07BE2">
            <w:pPr>
              <w:spacing w:before="0" w:after="0" w:line="240" w:lineRule="auto"/>
              <w:jc w:val="center"/>
            </w:pPr>
            <w:r w:rsidRPr="005C3CE4">
              <w:t>-0.409</w:t>
            </w:r>
          </w:p>
        </w:tc>
        <w:tc>
          <w:tcPr>
            <w:tcW w:w="267" w:type="pct"/>
            <w:tcBorders>
              <w:bottom w:val="single" w:sz="4" w:space="0" w:color="000000"/>
            </w:tcBorders>
          </w:tcPr>
          <w:p w14:paraId="256E3133" w14:textId="77777777" w:rsidR="00FD122F" w:rsidRPr="005C3CE4" w:rsidRDefault="00FD122F" w:rsidP="00C07BE2">
            <w:pPr>
              <w:spacing w:before="0" w:after="0" w:line="240" w:lineRule="auto"/>
              <w:jc w:val="center"/>
            </w:pPr>
            <w:r w:rsidRPr="005C3CE4">
              <w:t>-</w:t>
            </w:r>
          </w:p>
        </w:tc>
      </w:tr>
    </w:tbl>
    <w:p w14:paraId="6372F29F" w14:textId="481D3D90" w:rsidR="00732CC3" w:rsidRPr="00DE7802" w:rsidRDefault="00882C13" w:rsidP="00BA649A">
      <w:pPr>
        <w:pStyle w:val="BodyText"/>
        <w:ind w:firstLine="0"/>
      </w:pPr>
      <w:r w:rsidRPr="00382590">
        <w:rPr>
          <w:i/>
          <w:iCs/>
        </w:rPr>
        <w:t>Note.</w:t>
      </w:r>
      <w:r>
        <w:t xml:space="preserve"> </w:t>
      </w:r>
      <w:r w:rsidR="00763522" w:rsidRPr="005C3CE4">
        <w:t>* p &lt; 0.05, ** p &lt; 0.01, *** p &lt; 0.001</w:t>
      </w:r>
      <w:r w:rsidR="00DE7802">
        <w:t>;</w:t>
      </w:r>
      <w:r w:rsidR="00F67B56" w:rsidRPr="005C3CE4">
        <w:t xml:space="preserve"> </w:t>
      </w:r>
      <w:r w:rsidR="00031627" w:rsidRPr="005C3CE4">
        <w:rPr>
          <w:rFonts w:cs="Times New Roman"/>
          <w:lang w:val="el-GR"/>
        </w:rPr>
        <w:t>μ</w:t>
      </w:r>
      <w:r w:rsidR="004D620D">
        <w:rPr>
          <w:rFonts w:cs="Times New Roman"/>
          <w:vertAlign w:val="subscript"/>
        </w:rPr>
        <w:t>ep</w:t>
      </w:r>
      <w:r w:rsidR="00031627" w:rsidRPr="005C3CE4">
        <w:rPr>
          <w:rFonts w:cs="Times New Roman"/>
          <w:vertAlign w:val="subscript"/>
        </w:rPr>
        <w:t xml:space="preserve">i </w:t>
      </w:r>
      <w:r w:rsidR="00031627" w:rsidRPr="005C3CE4">
        <w:rPr>
          <w:rFonts w:cs="Times New Roman"/>
        </w:rPr>
        <w:t xml:space="preserve">= </w:t>
      </w:r>
      <w:r w:rsidR="00907881">
        <w:rPr>
          <w:rFonts w:cs="Times New Roman"/>
        </w:rPr>
        <w:t>mean</w:t>
      </w:r>
      <w:r w:rsidR="008C1F57" w:rsidRPr="005C3CE4">
        <w:rPr>
          <w:rFonts w:cs="Times New Roman"/>
        </w:rPr>
        <w:t xml:space="preserve"> </w:t>
      </w:r>
      <w:proofErr w:type="spellStart"/>
      <w:r w:rsidR="004E59A1">
        <w:rPr>
          <w:rFonts w:cs="Times New Roman"/>
        </w:rPr>
        <w:t>esport</w:t>
      </w:r>
      <w:proofErr w:type="spellEnd"/>
      <w:r w:rsidR="004E59A1">
        <w:rPr>
          <w:rFonts w:cs="Times New Roman"/>
        </w:rPr>
        <w:t xml:space="preserve"> participation</w:t>
      </w:r>
      <w:r w:rsidR="008C1F57" w:rsidRPr="005C3CE4">
        <w:rPr>
          <w:rFonts w:cs="Times New Roman"/>
        </w:rPr>
        <w:t xml:space="preserve">; </w:t>
      </w:r>
      <w:r w:rsidR="008C1F57" w:rsidRPr="005C3CE4">
        <w:rPr>
          <w:rFonts w:cs="Times New Roman"/>
          <w:lang w:val="el-GR"/>
        </w:rPr>
        <w:t>μ</w:t>
      </w:r>
      <w:proofErr w:type="spellStart"/>
      <w:r w:rsidR="00F95B24">
        <w:rPr>
          <w:rFonts w:cs="Times New Roman"/>
          <w:vertAlign w:val="subscript"/>
        </w:rPr>
        <w:t>mf</w:t>
      </w:r>
      <w:r w:rsidR="008C1F57" w:rsidRPr="005C3CE4">
        <w:rPr>
          <w:rFonts w:cs="Times New Roman"/>
          <w:vertAlign w:val="subscript"/>
        </w:rPr>
        <w:t>i</w:t>
      </w:r>
      <w:proofErr w:type="spellEnd"/>
      <w:r w:rsidR="008C1F57" w:rsidRPr="005C3CE4">
        <w:rPr>
          <w:rFonts w:cs="Times New Roman"/>
          <w:vertAlign w:val="subscript"/>
        </w:rPr>
        <w:t xml:space="preserve"> </w:t>
      </w:r>
      <w:r w:rsidR="008C1F57" w:rsidRPr="005C3CE4">
        <w:rPr>
          <w:rFonts w:cs="Times New Roman"/>
        </w:rPr>
        <w:t xml:space="preserve">= </w:t>
      </w:r>
      <w:r w:rsidR="00907881">
        <w:rPr>
          <w:rFonts w:cs="Times New Roman"/>
        </w:rPr>
        <w:t>mean</w:t>
      </w:r>
      <w:r w:rsidR="008C1F57" w:rsidRPr="005C3CE4">
        <w:rPr>
          <w:rFonts w:cs="Times New Roman"/>
        </w:rPr>
        <w:t xml:space="preserve"> mental fatigue; </w:t>
      </w:r>
      <w:r w:rsidR="00E26CE4" w:rsidRPr="005C3CE4">
        <w:rPr>
          <w:rFonts w:cs="Times New Roman"/>
          <w:lang w:val="el-GR"/>
        </w:rPr>
        <w:t>β</w:t>
      </w:r>
      <w:proofErr w:type="spellStart"/>
      <w:r w:rsidR="00E26CE4" w:rsidRPr="005C3CE4">
        <w:rPr>
          <w:rFonts w:cs="Times New Roman"/>
          <w:vertAlign w:val="subscript"/>
        </w:rPr>
        <w:t>em</w:t>
      </w:r>
      <w:proofErr w:type="spellEnd"/>
      <w:r w:rsidR="00E26CE4" w:rsidRPr="005C3CE4">
        <w:rPr>
          <w:rFonts w:cs="Times New Roman"/>
        </w:rPr>
        <w:t xml:space="preserve"> = </w:t>
      </w:r>
      <w:r w:rsidR="005D242C" w:rsidRPr="005C3CE4">
        <w:rPr>
          <w:rFonts w:cs="Times New Roman"/>
        </w:rPr>
        <w:t xml:space="preserve">cross-lagged effect of </w:t>
      </w:r>
      <w:proofErr w:type="spellStart"/>
      <w:r w:rsidR="004258A3">
        <w:rPr>
          <w:rFonts w:cs="Times New Roman"/>
        </w:rPr>
        <w:t>esport</w:t>
      </w:r>
      <w:proofErr w:type="spellEnd"/>
      <w:r w:rsidR="004258A3">
        <w:rPr>
          <w:rFonts w:cs="Times New Roman"/>
        </w:rPr>
        <w:t xml:space="preserve"> participation</w:t>
      </w:r>
      <w:r w:rsidR="005D242C" w:rsidRPr="005C3CE4">
        <w:rPr>
          <w:rFonts w:cs="Times New Roman"/>
        </w:rPr>
        <w:t xml:space="preserve"> on </w:t>
      </w:r>
      <w:r w:rsidR="00E65568" w:rsidRPr="005C3CE4">
        <w:rPr>
          <w:rFonts w:cs="Times New Roman"/>
        </w:rPr>
        <w:t xml:space="preserve">mental fatigue; </w:t>
      </w:r>
      <w:r w:rsidR="00E65568" w:rsidRPr="005C3CE4">
        <w:rPr>
          <w:rFonts w:cs="Times New Roman"/>
          <w:lang w:val="el-GR"/>
        </w:rPr>
        <w:t>Φ</w:t>
      </w:r>
      <w:r w:rsidR="00E65568" w:rsidRPr="005C3CE4">
        <w:rPr>
          <w:rFonts w:cs="Times New Roman"/>
          <w:vertAlign w:val="subscript"/>
        </w:rPr>
        <w:t xml:space="preserve">mm </w:t>
      </w:r>
      <w:r w:rsidR="00E65568" w:rsidRPr="005C3CE4">
        <w:rPr>
          <w:rFonts w:cs="Times New Roman"/>
        </w:rPr>
        <w:t xml:space="preserve">= </w:t>
      </w:r>
      <w:r w:rsidR="00AC1217" w:rsidRPr="005C3CE4">
        <w:rPr>
          <w:rFonts w:cs="Times New Roman"/>
        </w:rPr>
        <w:t>i</w:t>
      </w:r>
      <w:r w:rsidR="00F832A7" w:rsidRPr="005C3CE4">
        <w:rPr>
          <w:rFonts w:cs="Times New Roman"/>
        </w:rPr>
        <w:t>n</w:t>
      </w:r>
      <w:r w:rsidR="00AC1217" w:rsidRPr="005C3CE4">
        <w:rPr>
          <w:rFonts w:cs="Times New Roman"/>
        </w:rPr>
        <w:t xml:space="preserve">ertia of mental fatigue; </w:t>
      </w:r>
      <w:r w:rsidR="008F1D77" w:rsidRPr="005C3CE4">
        <w:rPr>
          <w:rFonts w:cs="Times New Roman"/>
          <w:lang w:val="el-GR"/>
        </w:rPr>
        <w:t>β</w:t>
      </w:r>
      <w:r w:rsidR="008F1D77" w:rsidRPr="005C3CE4">
        <w:rPr>
          <w:rFonts w:cs="Times New Roman"/>
          <w:vertAlign w:val="subscript"/>
        </w:rPr>
        <w:t xml:space="preserve">me </w:t>
      </w:r>
      <w:r w:rsidR="008F1D77" w:rsidRPr="005C3CE4">
        <w:rPr>
          <w:rFonts w:cs="Times New Roman"/>
        </w:rPr>
        <w:t xml:space="preserve">= </w:t>
      </w:r>
      <w:r w:rsidR="00CF0EEE" w:rsidRPr="005C3CE4">
        <w:rPr>
          <w:rFonts w:cs="Times New Roman"/>
        </w:rPr>
        <w:t xml:space="preserve">cross-lagged effect of mental fatigue on </w:t>
      </w:r>
      <w:proofErr w:type="spellStart"/>
      <w:r w:rsidR="00171EA0">
        <w:rPr>
          <w:rFonts w:cs="Times New Roman"/>
        </w:rPr>
        <w:t>esport</w:t>
      </w:r>
      <w:proofErr w:type="spellEnd"/>
      <w:r w:rsidR="00171EA0">
        <w:rPr>
          <w:rFonts w:cs="Times New Roman"/>
        </w:rPr>
        <w:t xml:space="preserve"> participation</w:t>
      </w:r>
      <w:r w:rsidR="002C77DF" w:rsidRPr="005C3CE4">
        <w:rPr>
          <w:rFonts w:cs="Times New Roman"/>
        </w:rPr>
        <w:t xml:space="preserve">; </w:t>
      </w:r>
      <w:r w:rsidR="002C77DF" w:rsidRPr="005C3CE4">
        <w:rPr>
          <w:rFonts w:cs="Times New Roman"/>
          <w:lang w:val="el-GR"/>
        </w:rPr>
        <w:t>Φ</w:t>
      </w:r>
      <w:proofErr w:type="spellStart"/>
      <w:r w:rsidR="002C77DF" w:rsidRPr="005C3CE4">
        <w:rPr>
          <w:rFonts w:cs="Times New Roman"/>
          <w:vertAlign w:val="subscript"/>
        </w:rPr>
        <w:t>ee</w:t>
      </w:r>
      <w:proofErr w:type="spellEnd"/>
      <w:r w:rsidR="002C77DF" w:rsidRPr="005C3CE4">
        <w:rPr>
          <w:rFonts w:cs="Times New Roman"/>
          <w:vertAlign w:val="subscript"/>
        </w:rPr>
        <w:t xml:space="preserve"> </w:t>
      </w:r>
      <w:r w:rsidR="002C77DF" w:rsidRPr="005C3CE4">
        <w:rPr>
          <w:rFonts w:cs="Times New Roman"/>
        </w:rPr>
        <w:t xml:space="preserve">= inertia of </w:t>
      </w:r>
      <w:proofErr w:type="spellStart"/>
      <w:r w:rsidR="00171EA0">
        <w:rPr>
          <w:rFonts w:cs="Times New Roman"/>
        </w:rPr>
        <w:t>esport</w:t>
      </w:r>
      <w:proofErr w:type="spellEnd"/>
      <w:r w:rsidR="00171EA0">
        <w:rPr>
          <w:rFonts w:cs="Times New Roman"/>
        </w:rPr>
        <w:t xml:space="preserve"> participation</w:t>
      </w:r>
      <w:r w:rsidR="002C77DF" w:rsidRPr="005C3CE4">
        <w:rPr>
          <w:rFonts w:cs="Times New Roman"/>
        </w:rPr>
        <w:t xml:space="preserve">. </w:t>
      </w:r>
    </w:p>
    <w:p w14:paraId="69BE18BA" w14:textId="7F11313A" w:rsidR="00732CC3" w:rsidRDefault="00CC0969" w:rsidP="00732CC3">
      <w:pPr>
        <w:pStyle w:val="Heading3"/>
      </w:pPr>
      <w:r w:rsidRPr="005C3CE4">
        <w:t>Random effects regressed on covariates</w:t>
      </w:r>
    </w:p>
    <w:p w14:paraId="1C6760E9" w14:textId="3AE65538" w:rsidR="00F03997" w:rsidRDefault="00CC0969" w:rsidP="00AC54A9">
      <w:pPr>
        <w:pStyle w:val="BodyText"/>
      </w:pPr>
      <w:r w:rsidRPr="005C3CE4">
        <w:t xml:space="preserve">The results of the random effects regressed on covariates </w:t>
      </w:r>
      <w:r w:rsidR="00377ABD">
        <w:t>are</w:t>
      </w:r>
      <w:r w:rsidRPr="005C3CE4">
        <w:t xml:space="preserve"> presented in table 4. None of the covariates significantly predicted the random effects.</w:t>
      </w:r>
    </w:p>
    <w:p w14:paraId="3160245B" w14:textId="505F76D2" w:rsidR="00500BF5" w:rsidRDefault="00500BF5" w:rsidP="00AC54A9">
      <w:pPr>
        <w:pStyle w:val="BodyText"/>
      </w:pPr>
    </w:p>
    <w:p w14:paraId="795E463B" w14:textId="30B92D83" w:rsidR="00500BF5" w:rsidRDefault="00500BF5" w:rsidP="00AC54A9">
      <w:pPr>
        <w:pStyle w:val="BodyText"/>
      </w:pPr>
    </w:p>
    <w:p w14:paraId="4B13B99B" w14:textId="4EC43FEE" w:rsidR="00500BF5" w:rsidRDefault="00500BF5" w:rsidP="00AC54A9">
      <w:pPr>
        <w:pStyle w:val="BodyText"/>
      </w:pPr>
    </w:p>
    <w:p w14:paraId="59D57862" w14:textId="6D782928" w:rsidR="00500BF5" w:rsidRDefault="00500BF5" w:rsidP="00AC54A9">
      <w:pPr>
        <w:pStyle w:val="BodyText"/>
      </w:pPr>
    </w:p>
    <w:p w14:paraId="35CFD067" w14:textId="007AD66A" w:rsidR="00500BF5" w:rsidRDefault="00500BF5" w:rsidP="00AC54A9">
      <w:pPr>
        <w:pStyle w:val="BodyText"/>
      </w:pPr>
    </w:p>
    <w:p w14:paraId="03804F91" w14:textId="6C7923D9" w:rsidR="00500BF5" w:rsidRDefault="00500BF5" w:rsidP="00AC54A9">
      <w:pPr>
        <w:pStyle w:val="BodyText"/>
      </w:pPr>
    </w:p>
    <w:p w14:paraId="7E612DAD" w14:textId="712251BC" w:rsidR="00500BF5" w:rsidRDefault="00500BF5" w:rsidP="00AC54A9">
      <w:pPr>
        <w:pStyle w:val="BodyText"/>
      </w:pPr>
    </w:p>
    <w:p w14:paraId="4CA69E4B" w14:textId="2F138CF9" w:rsidR="00500BF5" w:rsidRDefault="00500BF5" w:rsidP="00AC54A9">
      <w:pPr>
        <w:pStyle w:val="BodyText"/>
      </w:pPr>
    </w:p>
    <w:p w14:paraId="1C13EB40" w14:textId="4334B1F8" w:rsidR="00500BF5" w:rsidRDefault="00500BF5" w:rsidP="00AC54A9">
      <w:pPr>
        <w:pStyle w:val="BodyText"/>
      </w:pPr>
    </w:p>
    <w:p w14:paraId="579C4804" w14:textId="2183A1E3" w:rsidR="00500BF5" w:rsidRDefault="00500BF5" w:rsidP="00AC54A9">
      <w:pPr>
        <w:pStyle w:val="BodyText"/>
      </w:pPr>
    </w:p>
    <w:p w14:paraId="51E65289" w14:textId="0BF94024" w:rsidR="00500BF5" w:rsidRDefault="00500BF5" w:rsidP="00AC54A9">
      <w:pPr>
        <w:pStyle w:val="BodyText"/>
      </w:pPr>
    </w:p>
    <w:p w14:paraId="741E6DE8" w14:textId="77777777" w:rsidR="00500BF5" w:rsidRDefault="00500BF5" w:rsidP="00AC54A9">
      <w:pPr>
        <w:pStyle w:val="BodyText"/>
      </w:pPr>
    </w:p>
    <w:p w14:paraId="7BC59D0C" w14:textId="594BB681" w:rsidR="002011C4" w:rsidRPr="002011C4" w:rsidRDefault="00837107" w:rsidP="00837107">
      <w:pPr>
        <w:pStyle w:val="BodyText"/>
        <w:ind w:firstLine="0"/>
        <w:rPr>
          <w:b/>
          <w:bCs/>
        </w:rPr>
      </w:pPr>
      <w:r w:rsidRPr="002011C4">
        <w:rPr>
          <w:b/>
          <w:bCs/>
        </w:rPr>
        <w:lastRenderedPageBreak/>
        <w:t>Table 4</w:t>
      </w:r>
    </w:p>
    <w:p w14:paraId="47AD7CB5" w14:textId="48A55CD0" w:rsidR="00837107" w:rsidRPr="005C3CE4" w:rsidRDefault="009D6521" w:rsidP="00837107">
      <w:pPr>
        <w:pStyle w:val="BodyText"/>
        <w:ind w:firstLine="0"/>
      </w:pPr>
      <w:r w:rsidRPr="005C3CE4">
        <w:t xml:space="preserve">Random effects regressed on covariates </w:t>
      </w:r>
      <w:r w:rsidR="00837107" w:rsidRPr="005C3CE4">
        <w:t>(</w:t>
      </w:r>
      <w:r w:rsidR="00837107" w:rsidRPr="005C3CE4">
        <w:rPr>
          <w:i/>
          <w:iCs/>
        </w:rPr>
        <w:t>N</w:t>
      </w:r>
      <w:r w:rsidR="00837107" w:rsidRPr="005C3CE4">
        <w:t xml:space="preserve"> = 63)</w:t>
      </w:r>
      <w:r w:rsidR="002011C4">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5"/>
        <w:gridCol w:w="1097"/>
        <w:gridCol w:w="1057"/>
        <w:gridCol w:w="756"/>
        <w:gridCol w:w="845"/>
        <w:gridCol w:w="816"/>
      </w:tblGrid>
      <w:tr w:rsidR="00C53C59" w:rsidRPr="005C3CE4" w14:paraId="73986B1B" w14:textId="77777777" w:rsidTr="00C53C59">
        <w:tc>
          <w:tcPr>
            <w:tcW w:w="2570" w:type="pct"/>
            <w:tcBorders>
              <w:top w:val="single" w:sz="4" w:space="0" w:color="000000"/>
            </w:tcBorders>
          </w:tcPr>
          <w:p w14:paraId="13940EFF" w14:textId="77777777" w:rsidR="0039579E" w:rsidRPr="005C3CE4" w:rsidRDefault="0039579E" w:rsidP="0039579E">
            <w:pPr>
              <w:spacing w:before="0" w:after="0" w:line="240" w:lineRule="auto"/>
            </w:pPr>
          </w:p>
        </w:tc>
        <w:tc>
          <w:tcPr>
            <w:tcW w:w="583" w:type="pct"/>
            <w:tcBorders>
              <w:top w:val="single" w:sz="4" w:space="0" w:color="000000"/>
            </w:tcBorders>
          </w:tcPr>
          <w:p w14:paraId="3210068F" w14:textId="77777777" w:rsidR="0039579E" w:rsidRPr="005C3CE4" w:rsidRDefault="0039579E" w:rsidP="0039579E">
            <w:pPr>
              <w:spacing w:before="0" w:after="0" w:line="240" w:lineRule="auto"/>
              <w:jc w:val="center"/>
              <w:rPr>
                <w:rFonts w:cs="Times New Roman"/>
                <w:sz w:val="16"/>
                <w:szCs w:val="16"/>
              </w:rPr>
            </w:pPr>
          </w:p>
        </w:tc>
        <w:tc>
          <w:tcPr>
            <w:tcW w:w="562" w:type="pct"/>
            <w:tcBorders>
              <w:top w:val="single" w:sz="4" w:space="0" w:color="000000"/>
            </w:tcBorders>
          </w:tcPr>
          <w:p w14:paraId="2BD85F16" w14:textId="77777777" w:rsidR="0039579E" w:rsidRPr="005C3CE4" w:rsidRDefault="0039579E" w:rsidP="0039579E">
            <w:pPr>
              <w:spacing w:before="0" w:after="0" w:line="240" w:lineRule="auto"/>
              <w:jc w:val="center"/>
            </w:pPr>
          </w:p>
        </w:tc>
        <w:tc>
          <w:tcPr>
            <w:tcW w:w="402" w:type="pct"/>
            <w:tcBorders>
              <w:top w:val="single" w:sz="4" w:space="0" w:color="000000"/>
            </w:tcBorders>
          </w:tcPr>
          <w:p w14:paraId="26C49F3E" w14:textId="77777777" w:rsidR="0039579E" w:rsidRPr="005C3CE4" w:rsidRDefault="0039579E" w:rsidP="0039579E">
            <w:pPr>
              <w:spacing w:before="0" w:after="0" w:line="240" w:lineRule="auto"/>
              <w:jc w:val="center"/>
            </w:pPr>
          </w:p>
        </w:tc>
        <w:tc>
          <w:tcPr>
            <w:tcW w:w="883" w:type="pct"/>
            <w:gridSpan w:val="2"/>
            <w:tcBorders>
              <w:top w:val="single" w:sz="4" w:space="0" w:color="000000"/>
              <w:bottom w:val="single" w:sz="4" w:space="0" w:color="000000"/>
            </w:tcBorders>
          </w:tcPr>
          <w:p w14:paraId="601DD59A" w14:textId="77777777" w:rsidR="0039579E" w:rsidRPr="005C3CE4" w:rsidRDefault="0039579E" w:rsidP="0039579E">
            <w:pPr>
              <w:spacing w:before="0" w:after="0" w:line="240" w:lineRule="auto"/>
              <w:jc w:val="center"/>
            </w:pPr>
            <w:r w:rsidRPr="005C3CE4">
              <w:t>95%CI</w:t>
            </w:r>
          </w:p>
        </w:tc>
      </w:tr>
      <w:tr w:rsidR="00C53C59" w:rsidRPr="005C3CE4" w14:paraId="4063FFD4" w14:textId="77777777" w:rsidTr="00C53C59">
        <w:tc>
          <w:tcPr>
            <w:tcW w:w="2570" w:type="pct"/>
            <w:tcBorders>
              <w:bottom w:val="single" w:sz="4" w:space="0" w:color="000000"/>
            </w:tcBorders>
          </w:tcPr>
          <w:p w14:paraId="3951D5CF" w14:textId="050E33FC" w:rsidR="0039579E" w:rsidRPr="005C3CE4" w:rsidRDefault="0039579E" w:rsidP="0039579E">
            <w:pPr>
              <w:spacing w:before="0" w:after="0" w:line="240" w:lineRule="auto"/>
            </w:pPr>
            <w:r w:rsidRPr="005C3CE4">
              <w:t>Predictor</w:t>
            </w:r>
          </w:p>
        </w:tc>
        <w:tc>
          <w:tcPr>
            <w:tcW w:w="583" w:type="pct"/>
            <w:tcBorders>
              <w:bottom w:val="single" w:sz="4" w:space="0" w:color="000000"/>
            </w:tcBorders>
          </w:tcPr>
          <w:p w14:paraId="1384285D" w14:textId="77777777" w:rsidR="0039579E" w:rsidRPr="005C3CE4" w:rsidRDefault="0039579E" w:rsidP="0039579E">
            <w:pPr>
              <w:spacing w:before="0" w:after="0" w:line="240" w:lineRule="auto"/>
              <w:jc w:val="center"/>
            </w:pPr>
            <w:r w:rsidRPr="005C3CE4">
              <w:t>Outcome</w:t>
            </w:r>
          </w:p>
        </w:tc>
        <w:tc>
          <w:tcPr>
            <w:tcW w:w="562" w:type="pct"/>
            <w:tcBorders>
              <w:bottom w:val="single" w:sz="4" w:space="0" w:color="000000"/>
            </w:tcBorders>
          </w:tcPr>
          <w:p w14:paraId="500D3A2C" w14:textId="77777777" w:rsidR="0039579E" w:rsidRPr="005C3CE4" w:rsidRDefault="0039579E" w:rsidP="0039579E">
            <w:pPr>
              <w:spacing w:before="0" w:after="0" w:line="240" w:lineRule="auto"/>
              <w:jc w:val="center"/>
            </w:pPr>
            <w:r w:rsidRPr="005C3CE4">
              <w:t>Estimate</w:t>
            </w:r>
          </w:p>
        </w:tc>
        <w:tc>
          <w:tcPr>
            <w:tcW w:w="402" w:type="pct"/>
            <w:tcBorders>
              <w:bottom w:val="single" w:sz="4" w:space="0" w:color="000000"/>
            </w:tcBorders>
          </w:tcPr>
          <w:p w14:paraId="267D8147" w14:textId="77777777" w:rsidR="0039579E" w:rsidRPr="005C3CE4" w:rsidRDefault="0039579E" w:rsidP="0039579E">
            <w:pPr>
              <w:spacing w:before="0" w:after="0" w:line="240" w:lineRule="auto"/>
              <w:jc w:val="center"/>
            </w:pPr>
            <w:r w:rsidRPr="005C3CE4">
              <w:t>PSD</w:t>
            </w:r>
          </w:p>
        </w:tc>
        <w:tc>
          <w:tcPr>
            <w:tcW w:w="449" w:type="pct"/>
            <w:tcBorders>
              <w:top w:val="single" w:sz="4" w:space="0" w:color="000000"/>
              <w:bottom w:val="single" w:sz="4" w:space="0" w:color="000000"/>
            </w:tcBorders>
          </w:tcPr>
          <w:p w14:paraId="37D54BB9" w14:textId="77777777" w:rsidR="0039579E" w:rsidRPr="005C3CE4" w:rsidRDefault="0039579E" w:rsidP="0039579E">
            <w:pPr>
              <w:spacing w:before="0" w:after="0" w:line="240" w:lineRule="auto"/>
              <w:jc w:val="center"/>
            </w:pPr>
            <w:r w:rsidRPr="005C3CE4">
              <w:t>Lower</w:t>
            </w:r>
          </w:p>
        </w:tc>
        <w:tc>
          <w:tcPr>
            <w:tcW w:w="434" w:type="pct"/>
            <w:tcBorders>
              <w:top w:val="single" w:sz="4" w:space="0" w:color="000000"/>
              <w:bottom w:val="single" w:sz="4" w:space="0" w:color="000000"/>
            </w:tcBorders>
          </w:tcPr>
          <w:p w14:paraId="0CC6C443" w14:textId="77777777" w:rsidR="0039579E" w:rsidRPr="005C3CE4" w:rsidRDefault="0039579E" w:rsidP="0039579E">
            <w:pPr>
              <w:spacing w:before="0" w:after="0" w:line="240" w:lineRule="auto"/>
              <w:jc w:val="center"/>
            </w:pPr>
            <w:r w:rsidRPr="005C3CE4">
              <w:t>Upper</w:t>
            </w:r>
          </w:p>
        </w:tc>
      </w:tr>
      <w:tr w:rsidR="00C53C59" w:rsidRPr="005C3CE4" w14:paraId="2FB8B30B" w14:textId="77777777" w:rsidTr="00C53C59">
        <w:tc>
          <w:tcPr>
            <w:tcW w:w="2570" w:type="pct"/>
            <w:vMerge w:val="restart"/>
            <w:tcBorders>
              <w:top w:val="single" w:sz="4" w:space="0" w:color="000000"/>
            </w:tcBorders>
          </w:tcPr>
          <w:p w14:paraId="575A386A" w14:textId="076B43E9" w:rsidR="0039579E" w:rsidRPr="005C3CE4" w:rsidRDefault="00865CDB" w:rsidP="0039579E">
            <w:pPr>
              <w:spacing w:before="0" w:after="0" w:line="240" w:lineRule="auto"/>
            </w:pPr>
            <w:r>
              <w:t>Gender</w:t>
            </w:r>
          </w:p>
        </w:tc>
        <w:tc>
          <w:tcPr>
            <w:tcW w:w="583" w:type="pct"/>
            <w:tcBorders>
              <w:top w:val="single" w:sz="4" w:space="0" w:color="000000"/>
            </w:tcBorders>
          </w:tcPr>
          <w:p w14:paraId="3B331087" w14:textId="33811568" w:rsidR="0039579E" w:rsidRPr="005C3CE4" w:rsidRDefault="0039579E" w:rsidP="0039579E">
            <w:pPr>
              <w:spacing w:before="0" w:after="0" w:line="240" w:lineRule="auto"/>
              <w:jc w:val="center"/>
            </w:pPr>
            <w:r w:rsidRPr="005C3CE4">
              <w:rPr>
                <w:rFonts w:cs="Times New Roman"/>
                <w:sz w:val="16"/>
                <w:szCs w:val="16"/>
                <w:lang w:val="el-GR"/>
              </w:rPr>
              <w:t>μ</w:t>
            </w:r>
            <w:r w:rsidR="00BC07DA" w:rsidRPr="00BC07DA">
              <w:rPr>
                <w:rFonts w:cs="Times New Roman"/>
                <w:sz w:val="16"/>
                <w:szCs w:val="16"/>
                <w:vertAlign w:val="subscript"/>
              </w:rPr>
              <w:t>ep</w:t>
            </w:r>
            <w:r w:rsidRPr="005C3CE4">
              <w:rPr>
                <w:rFonts w:cs="Times New Roman"/>
                <w:sz w:val="16"/>
                <w:szCs w:val="16"/>
                <w:vertAlign w:val="subscript"/>
              </w:rPr>
              <w:t>i</w:t>
            </w:r>
          </w:p>
        </w:tc>
        <w:tc>
          <w:tcPr>
            <w:tcW w:w="562" w:type="pct"/>
            <w:tcBorders>
              <w:top w:val="single" w:sz="4" w:space="0" w:color="000000"/>
            </w:tcBorders>
          </w:tcPr>
          <w:p w14:paraId="310DD29A" w14:textId="77777777" w:rsidR="0039579E" w:rsidRPr="005C3CE4" w:rsidRDefault="0039579E" w:rsidP="0039579E">
            <w:pPr>
              <w:spacing w:before="0" w:after="0" w:line="240" w:lineRule="auto"/>
              <w:jc w:val="center"/>
            </w:pPr>
            <w:r w:rsidRPr="005C3CE4">
              <w:t>-0.083</w:t>
            </w:r>
          </w:p>
        </w:tc>
        <w:tc>
          <w:tcPr>
            <w:tcW w:w="402" w:type="pct"/>
            <w:tcBorders>
              <w:top w:val="single" w:sz="4" w:space="0" w:color="000000"/>
            </w:tcBorders>
          </w:tcPr>
          <w:p w14:paraId="7A552353" w14:textId="77777777" w:rsidR="0039579E" w:rsidRPr="005C3CE4" w:rsidRDefault="0039579E" w:rsidP="0039579E">
            <w:pPr>
              <w:spacing w:before="0" w:after="0" w:line="240" w:lineRule="auto"/>
              <w:jc w:val="center"/>
            </w:pPr>
            <w:r w:rsidRPr="005C3CE4">
              <w:t>0.145</w:t>
            </w:r>
          </w:p>
        </w:tc>
        <w:tc>
          <w:tcPr>
            <w:tcW w:w="449" w:type="pct"/>
            <w:tcBorders>
              <w:top w:val="single" w:sz="4" w:space="0" w:color="000000"/>
            </w:tcBorders>
          </w:tcPr>
          <w:p w14:paraId="2F392F00" w14:textId="77777777" w:rsidR="0039579E" w:rsidRPr="005C3CE4" w:rsidRDefault="0039579E" w:rsidP="0039579E">
            <w:pPr>
              <w:spacing w:before="0" w:after="0" w:line="240" w:lineRule="auto"/>
              <w:jc w:val="center"/>
            </w:pPr>
            <w:r w:rsidRPr="005C3CE4">
              <w:t>-0.361</w:t>
            </w:r>
          </w:p>
        </w:tc>
        <w:tc>
          <w:tcPr>
            <w:tcW w:w="434" w:type="pct"/>
            <w:tcBorders>
              <w:top w:val="single" w:sz="4" w:space="0" w:color="000000"/>
            </w:tcBorders>
          </w:tcPr>
          <w:p w14:paraId="3FCCD29D" w14:textId="77777777" w:rsidR="0039579E" w:rsidRPr="005C3CE4" w:rsidRDefault="0039579E" w:rsidP="0039579E">
            <w:pPr>
              <w:spacing w:before="0" w:after="0" w:line="240" w:lineRule="auto"/>
              <w:jc w:val="center"/>
            </w:pPr>
            <w:r w:rsidRPr="005C3CE4">
              <w:t>0.207</w:t>
            </w:r>
          </w:p>
        </w:tc>
      </w:tr>
      <w:tr w:rsidR="00C53C59" w:rsidRPr="005C3CE4" w14:paraId="09CA4E1B" w14:textId="77777777" w:rsidTr="00C53C59">
        <w:tc>
          <w:tcPr>
            <w:tcW w:w="2570" w:type="pct"/>
            <w:vMerge/>
          </w:tcPr>
          <w:p w14:paraId="5BB976F3" w14:textId="77777777" w:rsidR="0039579E" w:rsidRPr="005C3CE4" w:rsidRDefault="0039579E" w:rsidP="0039579E">
            <w:pPr>
              <w:spacing w:before="0" w:after="0" w:line="240" w:lineRule="auto"/>
            </w:pPr>
          </w:p>
        </w:tc>
        <w:tc>
          <w:tcPr>
            <w:tcW w:w="583" w:type="pct"/>
          </w:tcPr>
          <w:p w14:paraId="75152CD4" w14:textId="353981AF" w:rsidR="0039579E" w:rsidRPr="005C3CE4" w:rsidRDefault="0039579E" w:rsidP="0039579E">
            <w:pPr>
              <w:spacing w:before="0" w:after="0" w:line="240" w:lineRule="auto"/>
              <w:jc w:val="center"/>
            </w:pPr>
            <w:r w:rsidRPr="005C3CE4">
              <w:rPr>
                <w:rFonts w:cs="Times New Roman"/>
                <w:sz w:val="16"/>
                <w:szCs w:val="16"/>
                <w:lang w:val="el-GR"/>
              </w:rPr>
              <w:t>μ</w:t>
            </w:r>
            <w:proofErr w:type="spellStart"/>
            <w:r w:rsidR="00FC4495" w:rsidRPr="00FC4495">
              <w:rPr>
                <w:rFonts w:cs="Times New Roman"/>
                <w:sz w:val="16"/>
                <w:szCs w:val="16"/>
                <w:vertAlign w:val="subscript"/>
              </w:rPr>
              <w:t>mf</w:t>
            </w:r>
            <w:r w:rsidRPr="005C3CE4">
              <w:rPr>
                <w:rFonts w:cs="Times New Roman"/>
                <w:sz w:val="16"/>
                <w:szCs w:val="16"/>
                <w:vertAlign w:val="subscript"/>
              </w:rPr>
              <w:t>i</w:t>
            </w:r>
            <w:proofErr w:type="spellEnd"/>
          </w:p>
        </w:tc>
        <w:tc>
          <w:tcPr>
            <w:tcW w:w="562" w:type="pct"/>
          </w:tcPr>
          <w:p w14:paraId="4865B814" w14:textId="77777777" w:rsidR="0039579E" w:rsidRPr="005C3CE4" w:rsidRDefault="0039579E" w:rsidP="0039579E">
            <w:pPr>
              <w:spacing w:before="0" w:after="0" w:line="240" w:lineRule="auto"/>
              <w:jc w:val="center"/>
            </w:pPr>
            <w:r w:rsidRPr="005C3CE4">
              <w:t>-0.147</w:t>
            </w:r>
          </w:p>
        </w:tc>
        <w:tc>
          <w:tcPr>
            <w:tcW w:w="402" w:type="pct"/>
          </w:tcPr>
          <w:p w14:paraId="0153A2DF" w14:textId="77777777" w:rsidR="0039579E" w:rsidRPr="005C3CE4" w:rsidRDefault="0039579E" w:rsidP="0039579E">
            <w:pPr>
              <w:spacing w:before="0" w:after="0" w:line="240" w:lineRule="auto"/>
              <w:jc w:val="center"/>
            </w:pPr>
            <w:r w:rsidRPr="005C3CE4">
              <w:t>0.147</w:t>
            </w:r>
          </w:p>
        </w:tc>
        <w:tc>
          <w:tcPr>
            <w:tcW w:w="449" w:type="pct"/>
          </w:tcPr>
          <w:p w14:paraId="009C030E" w14:textId="77777777" w:rsidR="0039579E" w:rsidRPr="005C3CE4" w:rsidRDefault="0039579E" w:rsidP="0039579E">
            <w:pPr>
              <w:spacing w:before="0" w:after="0" w:line="240" w:lineRule="auto"/>
              <w:jc w:val="center"/>
            </w:pPr>
            <w:r w:rsidRPr="005C3CE4">
              <w:t>-0.421</w:t>
            </w:r>
          </w:p>
        </w:tc>
        <w:tc>
          <w:tcPr>
            <w:tcW w:w="434" w:type="pct"/>
          </w:tcPr>
          <w:p w14:paraId="7C2DF2D8" w14:textId="77777777" w:rsidR="0039579E" w:rsidRPr="005C3CE4" w:rsidRDefault="0039579E" w:rsidP="0039579E">
            <w:pPr>
              <w:spacing w:before="0" w:after="0" w:line="240" w:lineRule="auto"/>
              <w:jc w:val="center"/>
            </w:pPr>
            <w:r w:rsidRPr="005C3CE4">
              <w:t>0.155</w:t>
            </w:r>
          </w:p>
        </w:tc>
      </w:tr>
      <w:tr w:rsidR="00C53C59" w:rsidRPr="005C3CE4" w14:paraId="16A26142" w14:textId="77777777" w:rsidTr="00C53C59">
        <w:tc>
          <w:tcPr>
            <w:tcW w:w="2570" w:type="pct"/>
            <w:vMerge/>
          </w:tcPr>
          <w:p w14:paraId="31230FE4" w14:textId="77777777" w:rsidR="0039579E" w:rsidRPr="005C3CE4" w:rsidRDefault="0039579E" w:rsidP="0039579E">
            <w:pPr>
              <w:spacing w:before="0" w:after="0" w:line="240" w:lineRule="auto"/>
            </w:pPr>
          </w:p>
        </w:tc>
        <w:tc>
          <w:tcPr>
            <w:tcW w:w="583" w:type="pct"/>
          </w:tcPr>
          <w:p w14:paraId="29256C81" w14:textId="77777777" w:rsidR="0039579E" w:rsidRPr="005C3CE4" w:rsidRDefault="0039579E" w:rsidP="0039579E">
            <w:pPr>
              <w:spacing w:before="0" w:after="0" w:line="240" w:lineRule="auto"/>
              <w:jc w:val="center"/>
              <w:rPr>
                <w:rFonts w:cs="Times New Roman"/>
                <w:sz w:val="16"/>
                <w:szCs w:val="16"/>
                <w:vertAlign w:val="subscript"/>
              </w:rPr>
            </w:pPr>
            <w:r w:rsidRPr="005C3CE4">
              <w:rPr>
                <w:rFonts w:cs="Times New Roman"/>
                <w:sz w:val="16"/>
                <w:szCs w:val="16"/>
                <w:lang w:val="el-GR"/>
              </w:rPr>
              <w:t>Φ</w:t>
            </w:r>
            <w:r w:rsidRPr="005C3CE4">
              <w:rPr>
                <w:rFonts w:cs="Times New Roman"/>
                <w:sz w:val="16"/>
                <w:szCs w:val="16"/>
                <w:vertAlign w:val="subscript"/>
              </w:rPr>
              <w:t>mm</w:t>
            </w:r>
          </w:p>
        </w:tc>
        <w:tc>
          <w:tcPr>
            <w:tcW w:w="562" w:type="pct"/>
          </w:tcPr>
          <w:p w14:paraId="1BC06011" w14:textId="77777777" w:rsidR="0039579E" w:rsidRPr="005C3CE4" w:rsidRDefault="0039579E" w:rsidP="0039579E">
            <w:pPr>
              <w:spacing w:before="0" w:after="0" w:line="240" w:lineRule="auto"/>
              <w:jc w:val="center"/>
            </w:pPr>
            <w:r w:rsidRPr="005C3CE4">
              <w:t>-0.193</w:t>
            </w:r>
          </w:p>
        </w:tc>
        <w:tc>
          <w:tcPr>
            <w:tcW w:w="402" w:type="pct"/>
          </w:tcPr>
          <w:p w14:paraId="3E321F6D" w14:textId="77777777" w:rsidR="0039579E" w:rsidRPr="005C3CE4" w:rsidRDefault="0039579E" w:rsidP="0039579E">
            <w:pPr>
              <w:spacing w:before="0" w:after="0" w:line="240" w:lineRule="auto"/>
              <w:jc w:val="center"/>
            </w:pPr>
            <w:r w:rsidRPr="005C3CE4">
              <w:t>0.164</w:t>
            </w:r>
          </w:p>
        </w:tc>
        <w:tc>
          <w:tcPr>
            <w:tcW w:w="449" w:type="pct"/>
          </w:tcPr>
          <w:p w14:paraId="23EC7BBB" w14:textId="77777777" w:rsidR="0039579E" w:rsidRPr="005C3CE4" w:rsidRDefault="0039579E" w:rsidP="0039579E">
            <w:pPr>
              <w:spacing w:before="0" w:after="0" w:line="240" w:lineRule="auto"/>
              <w:jc w:val="center"/>
            </w:pPr>
            <w:r w:rsidRPr="005C3CE4">
              <w:t>-0.477</w:t>
            </w:r>
          </w:p>
        </w:tc>
        <w:tc>
          <w:tcPr>
            <w:tcW w:w="434" w:type="pct"/>
          </w:tcPr>
          <w:p w14:paraId="42537453" w14:textId="77777777" w:rsidR="0039579E" w:rsidRPr="005C3CE4" w:rsidRDefault="0039579E" w:rsidP="0039579E">
            <w:pPr>
              <w:spacing w:before="0" w:after="0" w:line="240" w:lineRule="auto"/>
              <w:jc w:val="center"/>
            </w:pPr>
            <w:r w:rsidRPr="005C3CE4">
              <w:t>0.157</w:t>
            </w:r>
          </w:p>
        </w:tc>
      </w:tr>
      <w:tr w:rsidR="00C53C59" w:rsidRPr="005C3CE4" w14:paraId="306C97AF" w14:textId="77777777" w:rsidTr="00C53C59">
        <w:tc>
          <w:tcPr>
            <w:tcW w:w="2570" w:type="pct"/>
            <w:vMerge/>
          </w:tcPr>
          <w:p w14:paraId="6E79D0EE" w14:textId="77777777" w:rsidR="0039579E" w:rsidRPr="005C3CE4" w:rsidRDefault="0039579E" w:rsidP="0039579E">
            <w:pPr>
              <w:spacing w:before="0" w:after="0" w:line="240" w:lineRule="auto"/>
            </w:pPr>
          </w:p>
        </w:tc>
        <w:tc>
          <w:tcPr>
            <w:tcW w:w="583" w:type="pct"/>
          </w:tcPr>
          <w:p w14:paraId="52511DE4" w14:textId="77777777" w:rsidR="0039579E" w:rsidRPr="005C3CE4" w:rsidRDefault="0039579E" w:rsidP="0039579E">
            <w:pPr>
              <w:spacing w:before="0" w:after="0" w:line="240" w:lineRule="auto"/>
              <w:jc w:val="center"/>
              <w:rPr>
                <w:rFonts w:cs="Times New Roman"/>
                <w:sz w:val="16"/>
                <w:szCs w:val="16"/>
              </w:rPr>
            </w:pPr>
            <w:r w:rsidRPr="005C3CE4">
              <w:rPr>
                <w:rFonts w:cs="Times New Roman"/>
                <w:sz w:val="16"/>
                <w:szCs w:val="16"/>
                <w:lang w:val="el-GR"/>
              </w:rPr>
              <w:t>β</w:t>
            </w:r>
            <w:proofErr w:type="spellStart"/>
            <w:r w:rsidRPr="005C3CE4">
              <w:rPr>
                <w:rFonts w:cs="Times New Roman"/>
                <w:sz w:val="16"/>
                <w:szCs w:val="16"/>
                <w:vertAlign w:val="subscript"/>
              </w:rPr>
              <w:t>em</w:t>
            </w:r>
            <w:proofErr w:type="spellEnd"/>
          </w:p>
        </w:tc>
        <w:tc>
          <w:tcPr>
            <w:tcW w:w="562" w:type="pct"/>
          </w:tcPr>
          <w:p w14:paraId="0CF48F2B" w14:textId="77777777" w:rsidR="0039579E" w:rsidRPr="005C3CE4" w:rsidRDefault="0039579E" w:rsidP="0039579E">
            <w:pPr>
              <w:spacing w:before="0" w:after="0" w:line="240" w:lineRule="auto"/>
              <w:jc w:val="center"/>
            </w:pPr>
            <w:r w:rsidRPr="005C3CE4">
              <w:t>-0.124</w:t>
            </w:r>
          </w:p>
        </w:tc>
        <w:tc>
          <w:tcPr>
            <w:tcW w:w="402" w:type="pct"/>
          </w:tcPr>
          <w:p w14:paraId="1D252835" w14:textId="77777777" w:rsidR="0039579E" w:rsidRPr="005C3CE4" w:rsidRDefault="0039579E" w:rsidP="0039579E">
            <w:pPr>
              <w:spacing w:before="0" w:after="0" w:line="240" w:lineRule="auto"/>
              <w:jc w:val="center"/>
            </w:pPr>
            <w:r w:rsidRPr="005C3CE4">
              <w:t>0.168</w:t>
            </w:r>
          </w:p>
        </w:tc>
        <w:tc>
          <w:tcPr>
            <w:tcW w:w="449" w:type="pct"/>
          </w:tcPr>
          <w:p w14:paraId="35844CF3" w14:textId="77777777" w:rsidR="0039579E" w:rsidRPr="005C3CE4" w:rsidRDefault="0039579E" w:rsidP="0039579E">
            <w:pPr>
              <w:spacing w:before="0" w:after="0" w:line="240" w:lineRule="auto"/>
              <w:jc w:val="center"/>
            </w:pPr>
            <w:r w:rsidRPr="005C3CE4">
              <w:t>-0.426</w:t>
            </w:r>
          </w:p>
        </w:tc>
        <w:tc>
          <w:tcPr>
            <w:tcW w:w="434" w:type="pct"/>
          </w:tcPr>
          <w:p w14:paraId="2F88DBFF" w14:textId="77777777" w:rsidR="0039579E" w:rsidRPr="005C3CE4" w:rsidRDefault="0039579E" w:rsidP="0039579E">
            <w:pPr>
              <w:spacing w:before="0" w:after="0" w:line="240" w:lineRule="auto"/>
              <w:jc w:val="center"/>
            </w:pPr>
            <w:r w:rsidRPr="005C3CE4">
              <w:t>0.226</w:t>
            </w:r>
          </w:p>
        </w:tc>
      </w:tr>
      <w:tr w:rsidR="00C53C59" w:rsidRPr="005C3CE4" w14:paraId="0EF81274" w14:textId="77777777" w:rsidTr="00C53C59">
        <w:tc>
          <w:tcPr>
            <w:tcW w:w="2570" w:type="pct"/>
            <w:vMerge/>
          </w:tcPr>
          <w:p w14:paraId="5103EA71" w14:textId="77777777" w:rsidR="0039579E" w:rsidRPr="005C3CE4" w:rsidRDefault="0039579E" w:rsidP="0039579E">
            <w:pPr>
              <w:spacing w:before="0" w:after="0" w:line="240" w:lineRule="auto"/>
            </w:pPr>
          </w:p>
        </w:tc>
        <w:tc>
          <w:tcPr>
            <w:tcW w:w="583" w:type="pct"/>
          </w:tcPr>
          <w:p w14:paraId="1E45D109" w14:textId="77777777" w:rsidR="0039579E" w:rsidRPr="005C3CE4" w:rsidRDefault="0039579E" w:rsidP="0039579E">
            <w:pPr>
              <w:spacing w:before="0" w:after="0" w:line="240" w:lineRule="auto"/>
              <w:jc w:val="center"/>
              <w:rPr>
                <w:rFonts w:cs="Times New Roman"/>
                <w:sz w:val="16"/>
                <w:szCs w:val="16"/>
              </w:rPr>
            </w:pPr>
            <w:r w:rsidRPr="005C3CE4">
              <w:rPr>
                <w:rFonts w:cs="Times New Roman"/>
                <w:sz w:val="16"/>
                <w:szCs w:val="16"/>
                <w:lang w:val="el-GR"/>
              </w:rPr>
              <w:t>Φ</w:t>
            </w:r>
            <w:proofErr w:type="spellStart"/>
            <w:r w:rsidRPr="005C3CE4">
              <w:rPr>
                <w:rFonts w:cs="Times New Roman"/>
                <w:sz w:val="16"/>
                <w:szCs w:val="16"/>
                <w:vertAlign w:val="subscript"/>
              </w:rPr>
              <w:t>ee</w:t>
            </w:r>
            <w:proofErr w:type="spellEnd"/>
          </w:p>
        </w:tc>
        <w:tc>
          <w:tcPr>
            <w:tcW w:w="562" w:type="pct"/>
          </w:tcPr>
          <w:p w14:paraId="777113E4" w14:textId="77777777" w:rsidR="0039579E" w:rsidRPr="005C3CE4" w:rsidRDefault="0039579E" w:rsidP="0039579E">
            <w:pPr>
              <w:spacing w:before="0" w:after="0" w:line="240" w:lineRule="auto"/>
              <w:jc w:val="center"/>
            </w:pPr>
            <w:r w:rsidRPr="005C3CE4">
              <w:t>-0.013</w:t>
            </w:r>
          </w:p>
        </w:tc>
        <w:tc>
          <w:tcPr>
            <w:tcW w:w="402" w:type="pct"/>
          </w:tcPr>
          <w:p w14:paraId="481518EC" w14:textId="77777777" w:rsidR="0039579E" w:rsidRPr="005C3CE4" w:rsidRDefault="0039579E" w:rsidP="0039579E">
            <w:pPr>
              <w:spacing w:before="0" w:after="0" w:line="240" w:lineRule="auto"/>
              <w:jc w:val="center"/>
            </w:pPr>
            <w:r w:rsidRPr="005C3CE4">
              <w:t>0.220</w:t>
            </w:r>
          </w:p>
        </w:tc>
        <w:tc>
          <w:tcPr>
            <w:tcW w:w="449" w:type="pct"/>
          </w:tcPr>
          <w:p w14:paraId="6C6A02C1" w14:textId="77777777" w:rsidR="0039579E" w:rsidRPr="005C3CE4" w:rsidRDefault="0039579E" w:rsidP="0039579E">
            <w:pPr>
              <w:spacing w:before="0" w:after="0" w:line="240" w:lineRule="auto"/>
              <w:jc w:val="center"/>
            </w:pPr>
            <w:r w:rsidRPr="005C3CE4">
              <w:t>-0.457</w:t>
            </w:r>
          </w:p>
        </w:tc>
        <w:tc>
          <w:tcPr>
            <w:tcW w:w="434" w:type="pct"/>
          </w:tcPr>
          <w:p w14:paraId="39F88AF8" w14:textId="77777777" w:rsidR="0039579E" w:rsidRPr="005C3CE4" w:rsidRDefault="0039579E" w:rsidP="0039579E">
            <w:pPr>
              <w:spacing w:before="0" w:after="0" w:line="240" w:lineRule="auto"/>
              <w:jc w:val="center"/>
            </w:pPr>
            <w:r w:rsidRPr="005C3CE4">
              <w:t>0.398</w:t>
            </w:r>
          </w:p>
        </w:tc>
      </w:tr>
      <w:tr w:rsidR="00C53C59" w:rsidRPr="005C3CE4" w14:paraId="2A946B02" w14:textId="77777777" w:rsidTr="00C53C59">
        <w:tc>
          <w:tcPr>
            <w:tcW w:w="2570" w:type="pct"/>
            <w:vMerge/>
          </w:tcPr>
          <w:p w14:paraId="5DE8B51F" w14:textId="77777777" w:rsidR="0039579E" w:rsidRPr="005C3CE4" w:rsidRDefault="0039579E" w:rsidP="0039579E">
            <w:pPr>
              <w:spacing w:before="0" w:after="0" w:line="240" w:lineRule="auto"/>
            </w:pPr>
          </w:p>
        </w:tc>
        <w:tc>
          <w:tcPr>
            <w:tcW w:w="583" w:type="pct"/>
          </w:tcPr>
          <w:p w14:paraId="43793CF4" w14:textId="77777777" w:rsidR="0039579E" w:rsidRPr="005C3CE4" w:rsidRDefault="0039579E" w:rsidP="0039579E">
            <w:pPr>
              <w:spacing w:before="0" w:after="0" w:line="240" w:lineRule="auto"/>
              <w:jc w:val="center"/>
              <w:rPr>
                <w:rFonts w:cs="Times New Roman"/>
                <w:sz w:val="16"/>
                <w:szCs w:val="16"/>
              </w:rPr>
            </w:pPr>
            <w:r w:rsidRPr="005C3CE4">
              <w:rPr>
                <w:rFonts w:cs="Times New Roman"/>
                <w:sz w:val="16"/>
                <w:szCs w:val="16"/>
                <w:lang w:val="el-GR"/>
              </w:rPr>
              <w:t>β</w:t>
            </w:r>
            <w:r w:rsidRPr="005C3CE4">
              <w:rPr>
                <w:rFonts w:cs="Times New Roman"/>
                <w:sz w:val="16"/>
                <w:szCs w:val="16"/>
                <w:vertAlign w:val="subscript"/>
              </w:rPr>
              <w:t>me</w:t>
            </w:r>
          </w:p>
        </w:tc>
        <w:tc>
          <w:tcPr>
            <w:tcW w:w="562" w:type="pct"/>
          </w:tcPr>
          <w:p w14:paraId="1D243C8D" w14:textId="77777777" w:rsidR="0039579E" w:rsidRPr="005C3CE4" w:rsidRDefault="0039579E" w:rsidP="0039579E">
            <w:pPr>
              <w:spacing w:before="0" w:after="0" w:line="240" w:lineRule="auto"/>
              <w:jc w:val="center"/>
            </w:pPr>
            <w:r w:rsidRPr="005C3CE4">
              <w:t>0.104</w:t>
            </w:r>
          </w:p>
        </w:tc>
        <w:tc>
          <w:tcPr>
            <w:tcW w:w="402" w:type="pct"/>
          </w:tcPr>
          <w:p w14:paraId="1233B3E2" w14:textId="77777777" w:rsidR="0039579E" w:rsidRPr="005C3CE4" w:rsidRDefault="0039579E" w:rsidP="0039579E">
            <w:pPr>
              <w:spacing w:before="0" w:after="0" w:line="240" w:lineRule="auto"/>
              <w:jc w:val="center"/>
            </w:pPr>
            <w:r w:rsidRPr="005C3CE4">
              <w:t>0.165</w:t>
            </w:r>
          </w:p>
        </w:tc>
        <w:tc>
          <w:tcPr>
            <w:tcW w:w="449" w:type="pct"/>
          </w:tcPr>
          <w:p w14:paraId="6488A397" w14:textId="77777777" w:rsidR="0039579E" w:rsidRPr="005C3CE4" w:rsidRDefault="0039579E" w:rsidP="0039579E">
            <w:pPr>
              <w:spacing w:before="0" w:after="0" w:line="240" w:lineRule="auto"/>
              <w:jc w:val="center"/>
            </w:pPr>
            <w:r w:rsidRPr="005C3CE4">
              <w:t>-0.211</w:t>
            </w:r>
          </w:p>
        </w:tc>
        <w:tc>
          <w:tcPr>
            <w:tcW w:w="434" w:type="pct"/>
          </w:tcPr>
          <w:p w14:paraId="68F8C46D" w14:textId="77777777" w:rsidR="0039579E" w:rsidRPr="005C3CE4" w:rsidRDefault="0039579E" w:rsidP="0039579E">
            <w:pPr>
              <w:spacing w:before="0" w:after="0" w:line="240" w:lineRule="auto"/>
              <w:jc w:val="center"/>
            </w:pPr>
            <w:r w:rsidRPr="005C3CE4">
              <w:t>0.418</w:t>
            </w:r>
          </w:p>
        </w:tc>
      </w:tr>
      <w:tr w:rsidR="00C53C59" w:rsidRPr="005C3CE4" w14:paraId="67FB1ED3" w14:textId="77777777" w:rsidTr="00C53C59">
        <w:tc>
          <w:tcPr>
            <w:tcW w:w="2570" w:type="pct"/>
            <w:vMerge w:val="restart"/>
          </w:tcPr>
          <w:p w14:paraId="1AD9E44D" w14:textId="46B509D7" w:rsidR="0039579E" w:rsidRPr="005C3CE4" w:rsidRDefault="00934884" w:rsidP="0039579E">
            <w:pPr>
              <w:spacing w:before="0" w:after="0" w:line="240" w:lineRule="auto"/>
            </w:pPr>
            <w:r w:rsidRPr="005C3CE4">
              <w:t>P</w:t>
            </w:r>
            <w:r w:rsidR="0039579E" w:rsidRPr="005C3CE4">
              <w:t>laying with friends online</w:t>
            </w:r>
          </w:p>
        </w:tc>
        <w:tc>
          <w:tcPr>
            <w:tcW w:w="583" w:type="pct"/>
          </w:tcPr>
          <w:p w14:paraId="341816C5" w14:textId="7BF2127B" w:rsidR="0039579E" w:rsidRPr="005C3CE4" w:rsidRDefault="00BC07DA" w:rsidP="0039579E">
            <w:pPr>
              <w:spacing w:before="0" w:after="0" w:line="240" w:lineRule="auto"/>
              <w:jc w:val="center"/>
            </w:pPr>
            <w:r w:rsidRPr="005C3CE4">
              <w:rPr>
                <w:rFonts w:cs="Times New Roman"/>
                <w:sz w:val="16"/>
                <w:szCs w:val="16"/>
                <w:lang w:val="el-GR"/>
              </w:rPr>
              <w:t>μ</w:t>
            </w:r>
            <w:r w:rsidRPr="00BC07DA">
              <w:rPr>
                <w:rFonts w:cs="Times New Roman"/>
                <w:sz w:val="16"/>
                <w:szCs w:val="16"/>
                <w:vertAlign w:val="subscript"/>
              </w:rPr>
              <w:t>ep</w:t>
            </w:r>
            <w:r w:rsidRPr="005C3CE4">
              <w:rPr>
                <w:rFonts w:cs="Times New Roman"/>
                <w:sz w:val="16"/>
                <w:szCs w:val="16"/>
                <w:vertAlign w:val="subscript"/>
              </w:rPr>
              <w:t>i</w:t>
            </w:r>
          </w:p>
        </w:tc>
        <w:tc>
          <w:tcPr>
            <w:tcW w:w="562" w:type="pct"/>
          </w:tcPr>
          <w:p w14:paraId="1B2E5145" w14:textId="77777777" w:rsidR="0039579E" w:rsidRPr="005C3CE4" w:rsidRDefault="0039579E" w:rsidP="0039579E">
            <w:pPr>
              <w:spacing w:before="0" w:after="0" w:line="240" w:lineRule="auto"/>
              <w:jc w:val="center"/>
            </w:pPr>
            <w:r w:rsidRPr="005C3CE4">
              <w:t>0.062</w:t>
            </w:r>
          </w:p>
        </w:tc>
        <w:tc>
          <w:tcPr>
            <w:tcW w:w="402" w:type="pct"/>
          </w:tcPr>
          <w:p w14:paraId="5AF08567" w14:textId="77777777" w:rsidR="0039579E" w:rsidRPr="005C3CE4" w:rsidRDefault="0039579E" w:rsidP="0039579E">
            <w:pPr>
              <w:spacing w:before="0" w:after="0" w:line="240" w:lineRule="auto"/>
              <w:jc w:val="center"/>
            </w:pPr>
            <w:r w:rsidRPr="005C3CE4">
              <w:t>0.145</w:t>
            </w:r>
          </w:p>
        </w:tc>
        <w:tc>
          <w:tcPr>
            <w:tcW w:w="449" w:type="pct"/>
          </w:tcPr>
          <w:p w14:paraId="583AA93E" w14:textId="77777777" w:rsidR="0039579E" w:rsidRPr="005C3CE4" w:rsidRDefault="0039579E" w:rsidP="0039579E">
            <w:pPr>
              <w:spacing w:before="0" w:after="0" w:line="240" w:lineRule="auto"/>
              <w:jc w:val="center"/>
            </w:pPr>
            <w:r w:rsidRPr="005C3CE4">
              <w:t>-0.225</w:t>
            </w:r>
          </w:p>
        </w:tc>
        <w:tc>
          <w:tcPr>
            <w:tcW w:w="434" w:type="pct"/>
          </w:tcPr>
          <w:p w14:paraId="5D7B8DC8" w14:textId="77777777" w:rsidR="0039579E" w:rsidRPr="005C3CE4" w:rsidRDefault="0039579E" w:rsidP="0039579E">
            <w:pPr>
              <w:spacing w:before="0" w:after="0" w:line="240" w:lineRule="auto"/>
              <w:jc w:val="center"/>
            </w:pPr>
            <w:r w:rsidRPr="005C3CE4">
              <w:t>0.346</w:t>
            </w:r>
          </w:p>
        </w:tc>
      </w:tr>
      <w:tr w:rsidR="00C53C59" w:rsidRPr="005C3CE4" w14:paraId="54D1926B" w14:textId="77777777" w:rsidTr="00C53C59">
        <w:tc>
          <w:tcPr>
            <w:tcW w:w="2570" w:type="pct"/>
            <w:vMerge/>
          </w:tcPr>
          <w:p w14:paraId="27DA7772" w14:textId="77777777" w:rsidR="0039579E" w:rsidRPr="005C3CE4" w:rsidRDefault="0039579E" w:rsidP="0039579E">
            <w:pPr>
              <w:spacing w:before="0" w:after="0" w:line="240" w:lineRule="auto"/>
            </w:pPr>
          </w:p>
        </w:tc>
        <w:tc>
          <w:tcPr>
            <w:tcW w:w="583" w:type="pct"/>
          </w:tcPr>
          <w:p w14:paraId="03250E62" w14:textId="4CBD6250" w:rsidR="0039579E" w:rsidRPr="005C3CE4" w:rsidRDefault="00FC4495" w:rsidP="0039579E">
            <w:pPr>
              <w:spacing w:before="0" w:after="0" w:line="240" w:lineRule="auto"/>
              <w:jc w:val="center"/>
            </w:pPr>
            <w:r w:rsidRPr="005C3CE4">
              <w:rPr>
                <w:rFonts w:cs="Times New Roman"/>
                <w:sz w:val="16"/>
                <w:szCs w:val="16"/>
                <w:lang w:val="el-GR"/>
              </w:rPr>
              <w:t>μ</w:t>
            </w:r>
            <w:proofErr w:type="spellStart"/>
            <w:r w:rsidRPr="00FC4495">
              <w:rPr>
                <w:rFonts w:cs="Times New Roman"/>
                <w:sz w:val="16"/>
                <w:szCs w:val="16"/>
                <w:vertAlign w:val="subscript"/>
              </w:rPr>
              <w:t>mf</w:t>
            </w:r>
            <w:r w:rsidRPr="005C3CE4">
              <w:rPr>
                <w:rFonts w:cs="Times New Roman"/>
                <w:sz w:val="16"/>
                <w:szCs w:val="16"/>
                <w:vertAlign w:val="subscript"/>
              </w:rPr>
              <w:t>i</w:t>
            </w:r>
            <w:proofErr w:type="spellEnd"/>
          </w:p>
        </w:tc>
        <w:tc>
          <w:tcPr>
            <w:tcW w:w="562" w:type="pct"/>
          </w:tcPr>
          <w:p w14:paraId="3FA58165" w14:textId="77777777" w:rsidR="0039579E" w:rsidRPr="005C3CE4" w:rsidRDefault="0039579E" w:rsidP="0039579E">
            <w:pPr>
              <w:spacing w:before="0" w:after="0" w:line="240" w:lineRule="auto"/>
              <w:jc w:val="center"/>
            </w:pPr>
            <w:r w:rsidRPr="005C3CE4">
              <w:t>0.072</w:t>
            </w:r>
          </w:p>
        </w:tc>
        <w:tc>
          <w:tcPr>
            <w:tcW w:w="402" w:type="pct"/>
          </w:tcPr>
          <w:p w14:paraId="4B61D796" w14:textId="77777777" w:rsidR="0039579E" w:rsidRPr="005C3CE4" w:rsidRDefault="0039579E" w:rsidP="0039579E">
            <w:pPr>
              <w:spacing w:before="0" w:after="0" w:line="240" w:lineRule="auto"/>
              <w:jc w:val="center"/>
            </w:pPr>
            <w:r w:rsidRPr="005C3CE4">
              <w:t>0.147</w:t>
            </w:r>
          </w:p>
        </w:tc>
        <w:tc>
          <w:tcPr>
            <w:tcW w:w="449" w:type="pct"/>
          </w:tcPr>
          <w:p w14:paraId="03986273" w14:textId="77777777" w:rsidR="0039579E" w:rsidRPr="005C3CE4" w:rsidRDefault="0039579E" w:rsidP="0039579E">
            <w:pPr>
              <w:spacing w:before="0" w:after="0" w:line="240" w:lineRule="auto"/>
              <w:jc w:val="center"/>
            </w:pPr>
            <w:r w:rsidRPr="005C3CE4">
              <w:t>-0.224</w:t>
            </w:r>
          </w:p>
        </w:tc>
        <w:tc>
          <w:tcPr>
            <w:tcW w:w="434" w:type="pct"/>
          </w:tcPr>
          <w:p w14:paraId="080577CC" w14:textId="77777777" w:rsidR="0039579E" w:rsidRPr="005C3CE4" w:rsidRDefault="0039579E" w:rsidP="0039579E">
            <w:pPr>
              <w:spacing w:before="0" w:after="0" w:line="240" w:lineRule="auto"/>
              <w:jc w:val="center"/>
            </w:pPr>
            <w:r w:rsidRPr="005C3CE4">
              <w:t>0.352</w:t>
            </w:r>
          </w:p>
        </w:tc>
      </w:tr>
      <w:tr w:rsidR="00C53C59" w:rsidRPr="005C3CE4" w14:paraId="15F967D1" w14:textId="77777777" w:rsidTr="00C53C59">
        <w:tc>
          <w:tcPr>
            <w:tcW w:w="2570" w:type="pct"/>
            <w:vMerge/>
          </w:tcPr>
          <w:p w14:paraId="06EAED63" w14:textId="77777777" w:rsidR="0039579E" w:rsidRPr="005C3CE4" w:rsidRDefault="0039579E" w:rsidP="0039579E">
            <w:pPr>
              <w:spacing w:before="0" w:after="0" w:line="240" w:lineRule="auto"/>
            </w:pPr>
          </w:p>
        </w:tc>
        <w:tc>
          <w:tcPr>
            <w:tcW w:w="583" w:type="pct"/>
          </w:tcPr>
          <w:p w14:paraId="7DA1B29F" w14:textId="77777777" w:rsidR="0039579E" w:rsidRPr="005C3CE4" w:rsidRDefault="0039579E" w:rsidP="0039579E">
            <w:pPr>
              <w:spacing w:before="0" w:after="0" w:line="240" w:lineRule="auto"/>
              <w:jc w:val="center"/>
            </w:pPr>
            <w:r w:rsidRPr="005C3CE4">
              <w:rPr>
                <w:rFonts w:cs="Times New Roman"/>
                <w:sz w:val="16"/>
                <w:szCs w:val="16"/>
                <w:lang w:val="el-GR"/>
              </w:rPr>
              <w:t>Φ</w:t>
            </w:r>
            <w:r w:rsidRPr="005C3CE4">
              <w:rPr>
                <w:rFonts w:cs="Times New Roman"/>
                <w:sz w:val="16"/>
                <w:szCs w:val="16"/>
                <w:vertAlign w:val="subscript"/>
              </w:rPr>
              <w:t>mm</w:t>
            </w:r>
          </w:p>
        </w:tc>
        <w:tc>
          <w:tcPr>
            <w:tcW w:w="562" w:type="pct"/>
          </w:tcPr>
          <w:p w14:paraId="3F4E7ECA" w14:textId="77777777" w:rsidR="0039579E" w:rsidRPr="005C3CE4" w:rsidRDefault="0039579E" w:rsidP="0039579E">
            <w:pPr>
              <w:spacing w:before="0" w:after="0" w:line="240" w:lineRule="auto"/>
              <w:jc w:val="center"/>
            </w:pPr>
            <w:r w:rsidRPr="005C3CE4">
              <w:t>0.105</w:t>
            </w:r>
          </w:p>
        </w:tc>
        <w:tc>
          <w:tcPr>
            <w:tcW w:w="402" w:type="pct"/>
          </w:tcPr>
          <w:p w14:paraId="4162DD21" w14:textId="77777777" w:rsidR="0039579E" w:rsidRPr="005C3CE4" w:rsidRDefault="0039579E" w:rsidP="0039579E">
            <w:pPr>
              <w:spacing w:before="0" w:after="0" w:line="240" w:lineRule="auto"/>
              <w:jc w:val="center"/>
            </w:pPr>
            <w:r w:rsidRPr="005C3CE4">
              <w:t>0.168</w:t>
            </w:r>
          </w:p>
        </w:tc>
        <w:tc>
          <w:tcPr>
            <w:tcW w:w="449" w:type="pct"/>
          </w:tcPr>
          <w:p w14:paraId="08CA1B5A" w14:textId="77777777" w:rsidR="0039579E" w:rsidRPr="005C3CE4" w:rsidRDefault="0039579E" w:rsidP="0039579E">
            <w:pPr>
              <w:spacing w:before="0" w:after="0" w:line="240" w:lineRule="auto"/>
              <w:jc w:val="center"/>
            </w:pPr>
            <w:r w:rsidRPr="005C3CE4">
              <w:t>-0.233</w:t>
            </w:r>
          </w:p>
        </w:tc>
        <w:tc>
          <w:tcPr>
            <w:tcW w:w="434" w:type="pct"/>
          </w:tcPr>
          <w:p w14:paraId="4C87EF70" w14:textId="77777777" w:rsidR="0039579E" w:rsidRPr="005C3CE4" w:rsidRDefault="0039579E" w:rsidP="0039579E">
            <w:pPr>
              <w:spacing w:before="0" w:after="0" w:line="240" w:lineRule="auto"/>
              <w:jc w:val="center"/>
            </w:pPr>
            <w:r w:rsidRPr="005C3CE4">
              <w:t>0.415</w:t>
            </w:r>
          </w:p>
        </w:tc>
      </w:tr>
      <w:tr w:rsidR="00C53C59" w:rsidRPr="005C3CE4" w14:paraId="5CF6DD8D" w14:textId="77777777" w:rsidTr="00C53C59">
        <w:tc>
          <w:tcPr>
            <w:tcW w:w="2570" w:type="pct"/>
            <w:vMerge/>
          </w:tcPr>
          <w:p w14:paraId="1C108562" w14:textId="77777777" w:rsidR="0039579E" w:rsidRPr="005C3CE4" w:rsidRDefault="0039579E" w:rsidP="0039579E">
            <w:pPr>
              <w:spacing w:before="0" w:after="0" w:line="240" w:lineRule="auto"/>
            </w:pPr>
          </w:p>
        </w:tc>
        <w:tc>
          <w:tcPr>
            <w:tcW w:w="583" w:type="pct"/>
          </w:tcPr>
          <w:p w14:paraId="40D9CCE1" w14:textId="77777777" w:rsidR="0039579E" w:rsidRPr="005C3CE4" w:rsidRDefault="0039579E" w:rsidP="0039579E">
            <w:pPr>
              <w:spacing w:before="0" w:after="0" w:line="240" w:lineRule="auto"/>
              <w:jc w:val="center"/>
            </w:pPr>
            <w:r w:rsidRPr="005C3CE4">
              <w:rPr>
                <w:rFonts w:cs="Times New Roman"/>
                <w:sz w:val="16"/>
                <w:szCs w:val="16"/>
                <w:lang w:val="el-GR"/>
              </w:rPr>
              <w:t>β</w:t>
            </w:r>
            <w:proofErr w:type="spellStart"/>
            <w:r w:rsidRPr="005C3CE4">
              <w:rPr>
                <w:rFonts w:cs="Times New Roman"/>
                <w:sz w:val="16"/>
                <w:szCs w:val="16"/>
                <w:vertAlign w:val="subscript"/>
              </w:rPr>
              <w:t>em</w:t>
            </w:r>
            <w:proofErr w:type="spellEnd"/>
          </w:p>
        </w:tc>
        <w:tc>
          <w:tcPr>
            <w:tcW w:w="562" w:type="pct"/>
          </w:tcPr>
          <w:p w14:paraId="7E95AA21" w14:textId="77777777" w:rsidR="0039579E" w:rsidRPr="005C3CE4" w:rsidRDefault="0039579E" w:rsidP="0039579E">
            <w:pPr>
              <w:spacing w:before="0" w:after="0" w:line="240" w:lineRule="auto"/>
              <w:jc w:val="center"/>
            </w:pPr>
            <w:r w:rsidRPr="005C3CE4">
              <w:t>0.099</w:t>
            </w:r>
          </w:p>
        </w:tc>
        <w:tc>
          <w:tcPr>
            <w:tcW w:w="402" w:type="pct"/>
          </w:tcPr>
          <w:p w14:paraId="4EAC9E63" w14:textId="77777777" w:rsidR="0039579E" w:rsidRPr="005C3CE4" w:rsidRDefault="0039579E" w:rsidP="0039579E">
            <w:pPr>
              <w:spacing w:before="0" w:after="0" w:line="240" w:lineRule="auto"/>
              <w:jc w:val="center"/>
            </w:pPr>
            <w:r w:rsidRPr="005C3CE4">
              <w:t>0.162</w:t>
            </w:r>
          </w:p>
        </w:tc>
        <w:tc>
          <w:tcPr>
            <w:tcW w:w="449" w:type="pct"/>
          </w:tcPr>
          <w:p w14:paraId="4F45131B" w14:textId="77777777" w:rsidR="0039579E" w:rsidRPr="005C3CE4" w:rsidRDefault="0039579E" w:rsidP="0039579E">
            <w:pPr>
              <w:spacing w:before="0" w:after="0" w:line="240" w:lineRule="auto"/>
              <w:jc w:val="center"/>
            </w:pPr>
            <w:r w:rsidRPr="005C3CE4">
              <w:t>-0.238</w:t>
            </w:r>
          </w:p>
        </w:tc>
        <w:tc>
          <w:tcPr>
            <w:tcW w:w="434" w:type="pct"/>
          </w:tcPr>
          <w:p w14:paraId="27FAD62A" w14:textId="77777777" w:rsidR="0039579E" w:rsidRPr="005C3CE4" w:rsidRDefault="0039579E" w:rsidP="0039579E">
            <w:pPr>
              <w:spacing w:before="0" w:after="0" w:line="240" w:lineRule="auto"/>
              <w:jc w:val="center"/>
            </w:pPr>
            <w:r w:rsidRPr="005C3CE4">
              <w:t>0.396</w:t>
            </w:r>
          </w:p>
        </w:tc>
      </w:tr>
      <w:tr w:rsidR="00C53C59" w:rsidRPr="005C3CE4" w14:paraId="7383F30A" w14:textId="77777777" w:rsidTr="00C53C59">
        <w:tc>
          <w:tcPr>
            <w:tcW w:w="2570" w:type="pct"/>
            <w:vMerge/>
          </w:tcPr>
          <w:p w14:paraId="059E5154" w14:textId="77777777" w:rsidR="0039579E" w:rsidRPr="005C3CE4" w:rsidRDefault="0039579E" w:rsidP="0039579E">
            <w:pPr>
              <w:spacing w:before="0" w:after="0" w:line="240" w:lineRule="auto"/>
            </w:pPr>
          </w:p>
        </w:tc>
        <w:tc>
          <w:tcPr>
            <w:tcW w:w="583" w:type="pct"/>
          </w:tcPr>
          <w:p w14:paraId="25A2B498" w14:textId="77777777" w:rsidR="0039579E" w:rsidRPr="005C3CE4" w:rsidRDefault="0039579E" w:rsidP="0039579E">
            <w:pPr>
              <w:spacing w:before="0" w:after="0" w:line="240" w:lineRule="auto"/>
              <w:jc w:val="center"/>
            </w:pPr>
            <w:r w:rsidRPr="005C3CE4">
              <w:rPr>
                <w:rFonts w:cs="Times New Roman"/>
                <w:sz w:val="16"/>
                <w:szCs w:val="16"/>
                <w:lang w:val="el-GR"/>
              </w:rPr>
              <w:t>Φ</w:t>
            </w:r>
            <w:proofErr w:type="spellStart"/>
            <w:r w:rsidRPr="005C3CE4">
              <w:rPr>
                <w:rFonts w:cs="Times New Roman"/>
                <w:sz w:val="16"/>
                <w:szCs w:val="16"/>
                <w:vertAlign w:val="subscript"/>
              </w:rPr>
              <w:t>ee</w:t>
            </w:r>
            <w:proofErr w:type="spellEnd"/>
          </w:p>
        </w:tc>
        <w:tc>
          <w:tcPr>
            <w:tcW w:w="562" w:type="pct"/>
          </w:tcPr>
          <w:p w14:paraId="6DF70415" w14:textId="77777777" w:rsidR="0039579E" w:rsidRPr="005C3CE4" w:rsidRDefault="0039579E" w:rsidP="0039579E">
            <w:pPr>
              <w:spacing w:before="0" w:after="0" w:line="240" w:lineRule="auto"/>
              <w:jc w:val="center"/>
            </w:pPr>
            <w:r w:rsidRPr="005C3CE4">
              <w:t>-0.015</w:t>
            </w:r>
          </w:p>
        </w:tc>
        <w:tc>
          <w:tcPr>
            <w:tcW w:w="402" w:type="pct"/>
          </w:tcPr>
          <w:p w14:paraId="386483CE" w14:textId="77777777" w:rsidR="0039579E" w:rsidRPr="005C3CE4" w:rsidRDefault="0039579E" w:rsidP="0039579E">
            <w:pPr>
              <w:spacing w:before="0" w:after="0" w:line="240" w:lineRule="auto"/>
              <w:jc w:val="center"/>
            </w:pPr>
            <w:r w:rsidRPr="005C3CE4">
              <w:t>0.223</w:t>
            </w:r>
          </w:p>
        </w:tc>
        <w:tc>
          <w:tcPr>
            <w:tcW w:w="449" w:type="pct"/>
          </w:tcPr>
          <w:p w14:paraId="03213827" w14:textId="77777777" w:rsidR="0039579E" w:rsidRPr="005C3CE4" w:rsidRDefault="0039579E" w:rsidP="0039579E">
            <w:pPr>
              <w:spacing w:before="0" w:after="0" w:line="240" w:lineRule="auto"/>
              <w:jc w:val="center"/>
            </w:pPr>
            <w:r w:rsidRPr="005C3CE4">
              <w:t>-0.419</w:t>
            </w:r>
          </w:p>
        </w:tc>
        <w:tc>
          <w:tcPr>
            <w:tcW w:w="434" w:type="pct"/>
          </w:tcPr>
          <w:p w14:paraId="2C73DA21" w14:textId="77777777" w:rsidR="0039579E" w:rsidRPr="005C3CE4" w:rsidRDefault="0039579E" w:rsidP="0039579E">
            <w:pPr>
              <w:spacing w:before="0" w:after="0" w:line="240" w:lineRule="auto"/>
              <w:jc w:val="center"/>
            </w:pPr>
            <w:r w:rsidRPr="005C3CE4">
              <w:t>0.436</w:t>
            </w:r>
          </w:p>
        </w:tc>
      </w:tr>
      <w:tr w:rsidR="00C53C59" w:rsidRPr="005C3CE4" w14:paraId="168FD932" w14:textId="77777777" w:rsidTr="00C53C59">
        <w:tc>
          <w:tcPr>
            <w:tcW w:w="2570" w:type="pct"/>
            <w:vMerge/>
          </w:tcPr>
          <w:p w14:paraId="280FA951" w14:textId="77777777" w:rsidR="0039579E" w:rsidRPr="005C3CE4" w:rsidRDefault="0039579E" w:rsidP="0039579E">
            <w:pPr>
              <w:spacing w:before="0" w:after="0" w:line="240" w:lineRule="auto"/>
            </w:pPr>
          </w:p>
        </w:tc>
        <w:tc>
          <w:tcPr>
            <w:tcW w:w="583" w:type="pct"/>
          </w:tcPr>
          <w:p w14:paraId="7BDF4471" w14:textId="77777777" w:rsidR="0039579E" w:rsidRPr="005C3CE4" w:rsidRDefault="0039579E" w:rsidP="0039579E">
            <w:pPr>
              <w:spacing w:before="0" w:after="0" w:line="240" w:lineRule="auto"/>
              <w:jc w:val="center"/>
            </w:pPr>
            <w:r w:rsidRPr="005C3CE4">
              <w:rPr>
                <w:rFonts w:cs="Times New Roman"/>
                <w:sz w:val="16"/>
                <w:szCs w:val="16"/>
                <w:lang w:val="el-GR"/>
              </w:rPr>
              <w:t>β</w:t>
            </w:r>
            <w:r w:rsidRPr="005C3CE4">
              <w:rPr>
                <w:rFonts w:cs="Times New Roman"/>
                <w:sz w:val="16"/>
                <w:szCs w:val="16"/>
                <w:vertAlign w:val="subscript"/>
              </w:rPr>
              <w:t>me</w:t>
            </w:r>
          </w:p>
        </w:tc>
        <w:tc>
          <w:tcPr>
            <w:tcW w:w="562" w:type="pct"/>
          </w:tcPr>
          <w:p w14:paraId="3F518FD9" w14:textId="77777777" w:rsidR="0039579E" w:rsidRPr="005C3CE4" w:rsidRDefault="0039579E" w:rsidP="0039579E">
            <w:pPr>
              <w:spacing w:before="0" w:after="0" w:line="240" w:lineRule="auto"/>
              <w:jc w:val="center"/>
            </w:pPr>
            <w:r w:rsidRPr="005C3CE4">
              <w:t>-0.086</w:t>
            </w:r>
          </w:p>
        </w:tc>
        <w:tc>
          <w:tcPr>
            <w:tcW w:w="402" w:type="pct"/>
          </w:tcPr>
          <w:p w14:paraId="370847C8" w14:textId="77777777" w:rsidR="0039579E" w:rsidRPr="005C3CE4" w:rsidRDefault="0039579E" w:rsidP="0039579E">
            <w:pPr>
              <w:spacing w:before="0" w:after="0" w:line="240" w:lineRule="auto"/>
              <w:jc w:val="center"/>
            </w:pPr>
            <w:r w:rsidRPr="005C3CE4">
              <w:t>0.172</w:t>
            </w:r>
          </w:p>
        </w:tc>
        <w:tc>
          <w:tcPr>
            <w:tcW w:w="449" w:type="pct"/>
          </w:tcPr>
          <w:p w14:paraId="53B6963A" w14:textId="77777777" w:rsidR="0039579E" w:rsidRPr="005C3CE4" w:rsidRDefault="0039579E" w:rsidP="0039579E">
            <w:pPr>
              <w:spacing w:before="0" w:after="0" w:line="240" w:lineRule="auto"/>
              <w:jc w:val="center"/>
            </w:pPr>
            <w:r w:rsidRPr="005C3CE4">
              <w:t>-0.419</w:t>
            </w:r>
          </w:p>
        </w:tc>
        <w:tc>
          <w:tcPr>
            <w:tcW w:w="434" w:type="pct"/>
          </w:tcPr>
          <w:p w14:paraId="1EAE0F5B" w14:textId="77777777" w:rsidR="0039579E" w:rsidRPr="005C3CE4" w:rsidRDefault="0039579E" w:rsidP="0039579E">
            <w:pPr>
              <w:spacing w:before="0" w:after="0" w:line="240" w:lineRule="auto"/>
              <w:jc w:val="center"/>
            </w:pPr>
            <w:r w:rsidRPr="005C3CE4">
              <w:t>0.251</w:t>
            </w:r>
          </w:p>
        </w:tc>
      </w:tr>
      <w:tr w:rsidR="00C53C59" w:rsidRPr="005C3CE4" w14:paraId="10392993" w14:textId="77777777" w:rsidTr="00C53C59">
        <w:tc>
          <w:tcPr>
            <w:tcW w:w="2570" w:type="pct"/>
            <w:vMerge w:val="restart"/>
          </w:tcPr>
          <w:p w14:paraId="278C236A" w14:textId="64B5B837" w:rsidR="0039579E" w:rsidRPr="005C3CE4" w:rsidRDefault="00934884" w:rsidP="0039579E">
            <w:pPr>
              <w:spacing w:before="0" w:after="0" w:line="240" w:lineRule="auto"/>
            </w:pPr>
            <w:r w:rsidRPr="005C3CE4">
              <w:t>P</w:t>
            </w:r>
            <w:r w:rsidR="0039579E" w:rsidRPr="005C3CE4">
              <w:t>laying with friends face-to-face</w:t>
            </w:r>
          </w:p>
        </w:tc>
        <w:tc>
          <w:tcPr>
            <w:tcW w:w="583" w:type="pct"/>
          </w:tcPr>
          <w:p w14:paraId="46376197" w14:textId="129358E4" w:rsidR="0039579E" w:rsidRPr="005C3CE4" w:rsidRDefault="00BC07DA" w:rsidP="0039579E">
            <w:pPr>
              <w:spacing w:before="0" w:after="0" w:line="240" w:lineRule="auto"/>
              <w:jc w:val="center"/>
            </w:pPr>
            <w:r w:rsidRPr="005C3CE4">
              <w:rPr>
                <w:rFonts w:cs="Times New Roman"/>
                <w:sz w:val="16"/>
                <w:szCs w:val="16"/>
                <w:lang w:val="el-GR"/>
              </w:rPr>
              <w:t>μ</w:t>
            </w:r>
            <w:r w:rsidRPr="00BC07DA">
              <w:rPr>
                <w:rFonts w:cs="Times New Roman"/>
                <w:sz w:val="16"/>
                <w:szCs w:val="16"/>
                <w:vertAlign w:val="subscript"/>
              </w:rPr>
              <w:t>ep</w:t>
            </w:r>
            <w:r w:rsidRPr="005C3CE4">
              <w:rPr>
                <w:rFonts w:cs="Times New Roman"/>
                <w:sz w:val="16"/>
                <w:szCs w:val="16"/>
                <w:vertAlign w:val="subscript"/>
              </w:rPr>
              <w:t>i</w:t>
            </w:r>
          </w:p>
        </w:tc>
        <w:tc>
          <w:tcPr>
            <w:tcW w:w="562" w:type="pct"/>
          </w:tcPr>
          <w:p w14:paraId="55A7ADA7" w14:textId="77777777" w:rsidR="0039579E" w:rsidRPr="005C3CE4" w:rsidRDefault="0039579E" w:rsidP="0039579E">
            <w:pPr>
              <w:spacing w:before="0" w:after="0" w:line="240" w:lineRule="auto"/>
              <w:jc w:val="center"/>
            </w:pPr>
            <w:r w:rsidRPr="005C3CE4">
              <w:t>0.189</w:t>
            </w:r>
          </w:p>
        </w:tc>
        <w:tc>
          <w:tcPr>
            <w:tcW w:w="402" w:type="pct"/>
          </w:tcPr>
          <w:p w14:paraId="1CBDCAAB" w14:textId="77777777" w:rsidR="0039579E" w:rsidRPr="005C3CE4" w:rsidRDefault="0039579E" w:rsidP="0039579E">
            <w:pPr>
              <w:spacing w:before="0" w:after="0" w:line="240" w:lineRule="auto"/>
              <w:jc w:val="center"/>
            </w:pPr>
            <w:r w:rsidRPr="005C3CE4">
              <w:t>0.139</w:t>
            </w:r>
          </w:p>
        </w:tc>
        <w:tc>
          <w:tcPr>
            <w:tcW w:w="449" w:type="pct"/>
          </w:tcPr>
          <w:p w14:paraId="3814C449" w14:textId="77777777" w:rsidR="0039579E" w:rsidRPr="005C3CE4" w:rsidRDefault="0039579E" w:rsidP="0039579E">
            <w:pPr>
              <w:spacing w:before="0" w:after="0" w:line="240" w:lineRule="auto"/>
              <w:jc w:val="center"/>
            </w:pPr>
            <w:r w:rsidRPr="005C3CE4">
              <w:t>-0.096</w:t>
            </w:r>
          </w:p>
        </w:tc>
        <w:tc>
          <w:tcPr>
            <w:tcW w:w="434" w:type="pct"/>
          </w:tcPr>
          <w:p w14:paraId="0FBAE6E9" w14:textId="77777777" w:rsidR="0039579E" w:rsidRPr="005C3CE4" w:rsidRDefault="0039579E" w:rsidP="0039579E">
            <w:pPr>
              <w:spacing w:before="0" w:after="0" w:line="240" w:lineRule="auto"/>
              <w:jc w:val="center"/>
            </w:pPr>
            <w:r w:rsidRPr="005C3CE4">
              <w:t>0.447</w:t>
            </w:r>
          </w:p>
        </w:tc>
      </w:tr>
      <w:tr w:rsidR="00C53C59" w:rsidRPr="005C3CE4" w14:paraId="684D1CCD" w14:textId="77777777" w:rsidTr="00C53C59">
        <w:tc>
          <w:tcPr>
            <w:tcW w:w="2570" w:type="pct"/>
            <w:vMerge/>
          </w:tcPr>
          <w:p w14:paraId="7BFCB754" w14:textId="77777777" w:rsidR="0039579E" w:rsidRPr="005C3CE4" w:rsidRDefault="0039579E" w:rsidP="0039579E">
            <w:pPr>
              <w:spacing w:before="0" w:after="0" w:line="240" w:lineRule="auto"/>
            </w:pPr>
          </w:p>
        </w:tc>
        <w:tc>
          <w:tcPr>
            <w:tcW w:w="583" w:type="pct"/>
          </w:tcPr>
          <w:p w14:paraId="291203EF" w14:textId="565DB90D" w:rsidR="0039579E" w:rsidRPr="005C3CE4" w:rsidRDefault="00FC4495" w:rsidP="0039579E">
            <w:pPr>
              <w:spacing w:before="0" w:after="0" w:line="240" w:lineRule="auto"/>
              <w:jc w:val="center"/>
            </w:pPr>
            <w:r w:rsidRPr="005C3CE4">
              <w:rPr>
                <w:rFonts w:cs="Times New Roman"/>
                <w:sz w:val="16"/>
                <w:szCs w:val="16"/>
                <w:lang w:val="el-GR"/>
              </w:rPr>
              <w:t>μ</w:t>
            </w:r>
            <w:proofErr w:type="spellStart"/>
            <w:r w:rsidRPr="00FC4495">
              <w:rPr>
                <w:rFonts w:cs="Times New Roman"/>
                <w:sz w:val="16"/>
                <w:szCs w:val="16"/>
                <w:vertAlign w:val="subscript"/>
              </w:rPr>
              <w:t>mf</w:t>
            </w:r>
            <w:r w:rsidRPr="005C3CE4">
              <w:rPr>
                <w:rFonts w:cs="Times New Roman"/>
                <w:sz w:val="16"/>
                <w:szCs w:val="16"/>
                <w:vertAlign w:val="subscript"/>
              </w:rPr>
              <w:t>i</w:t>
            </w:r>
            <w:proofErr w:type="spellEnd"/>
          </w:p>
        </w:tc>
        <w:tc>
          <w:tcPr>
            <w:tcW w:w="562" w:type="pct"/>
          </w:tcPr>
          <w:p w14:paraId="332DA963" w14:textId="77777777" w:rsidR="0039579E" w:rsidRPr="005C3CE4" w:rsidRDefault="0039579E" w:rsidP="0039579E">
            <w:pPr>
              <w:spacing w:before="0" w:after="0" w:line="240" w:lineRule="auto"/>
              <w:jc w:val="center"/>
            </w:pPr>
            <w:r w:rsidRPr="005C3CE4">
              <w:t>-0.021</w:t>
            </w:r>
          </w:p>
        </w:tc>
        <w:tc>
          <w:tcPr>
            <w:tcW w:w="402" w:type="pct"/>
          </w:tcPr>
          <w:p w14:paraId="79C81254" w14:textId="77777777" w:rsidR="0039579E" w:rsidRPr="005C3CE4" w:rsidRDefault="0039579E" w:rsidP="0039579E">
            <w:pPr>
              <w:spacing w:before="0" w:after="0" w:line="240" w:lineRule="auto"/>
              <w:jc w:val="center"/>
            </w:pPr>
            <w:r w:rsidRPr="005C3CE4">
              <w:t>0.144</w:t>
            </w:r>
          </w:p>
        </w:tc>
        <w:tc>
          <w:tcPr>
            <w:tcW w:w="449" w:type="pct"/>
          </w:tcPr>
          <w:p w14:paraId="0B7418C7" w14:textId="77777777" w:rsidR="0039579E" w:rsidRPr="005C3CE4" w:rsidRDefault="0039579E" w:rsidP="0039579E">
            <w:pPr>
              <w:spacing w:before="0" w:after="0" w:line="240" w:lineRule="auto"/>
              <w:jc w:val="center"/>
            </w:pPr>
            <w:r w:rsidRPr="005C3CE4">
              <w:t>-0.297</w:t>
            </w:r>
          </w:p>
        </w:tc>
        <w:tc>
          <w:tcPr>
            <w:tcW w:w="434" w:type="pct"/>
          </w:tcPr>
          <w:p w14:paraId="7FE7524C" w14:textId="77777777" w:rsidR="0039579E" w:rsidRPr="005C3CE4" w:rsidRDefault="0039579E" w:rsidP="0039579E">
            <w:pPr>
              <w:spacing w:before="0" w:after="0" w:line="240" w:lineRule="auto"/>
              <w:jc w:val="center"/>
            </w:pPr>
            <w:r w:rsidRPr="005C3CE4">
              <w:t>0.263</w:t>
            </w:r>
          </w:p>
        </w:tc>
      </w:tr>
      <w:tr w:rsidR="00C53C59" w:rsidRPr="005C3CE4" w14:paraId="6FC378A9" w14:textId="77777777" w:rsidTr="00C53C59">
        <w:tc>
          <w:tcPr>
            <w:tcW w:w="2570" w:type="pct"/>
            <w:vMerge/>
          </w:tcPr>
          <w:p w14:paraId="7156D397" w14:textId="77777777" w:rsidR="0039579E" w:rsidRPr="005C3CE4" w:rsidRDefault="0039579E" w:rsidP="0039579E">
            <w:pPr>
              <w:spacing w:before="0" w:after="0" w:line="240" w:lineRule="auto"/>
            </w:pPr>
          </w:p>
        </w:tc>
        <w:tc>
          <w:tcPr>
            <w:tcW w:w="583" w:type="pct"/>
          </w:tcPr>
          <w:p w14:paraId="2B003002" w14:textId="77777777" w:rsidR="0039579E" w:rsidRPr="005C3CE4" w:rsidRDefault="0039579E" w:rsidP="0039579E">
            <w:pPr>
              <w:spacing w:before="0" w:after="0" w:line="240" w:lineRule="auto"/>
              <w:jc w:val="center"/>
            </w:pPr>
            <w:r w:rsidRPr="005C3CE4">
              <w:rPr>
                <w:rFonts w:cs="Times New Roman"/>
                <w:sz w:val="16"/>
                <w:szCs w:val="16"/>
                <w:lang w:val="el-GR"/>
              </w:rPr>
              <w:t>Φ</w:t>
            </w:r>
            <w:r w:rsidRPr="005C3CE4">
              <w:rPr>
                <w:rFonts w:cs="Times New Roman"/>
                <w:sz w:val="16"/>
                <w:szCs w:val="16"/>
                <w:vertAlign w:val="subscript"/>
              </w:rPr>
              <w:t>mm</w:t>
            </w:r>
          </w:p>
        </w:tc>
        <w:tc>
          <w:tcPr>
            <w:tcW w:w="562" w:type="pct"/>
          </w:tcPr>
          <w:p w14:paraId="413E82C9" w14:textId="77777777" w:rsidR="0039579E" w:rsidRPr="005C3CE4" w:rsidRDefault="0039579E" w:rsidP="0039579E">
            <w:pPr>
              <w:spacing w:before="0" w:after="0" w:line="240" w:lineRule="auto"/>
              <w:jc w:val="center"/>
            </w:pPr>
            <w:r w:rsidRPr="005C3CE4">
              <w:t>-0.033</w:t>
            </w:r>
          </w:p>
        </w:tc>
        <w:tc>
          <w:tcPr>
            <w:tcW w:w="402" w:type="pct"/>
          </w:tcPr>
          <w:p w14:paraId="162C2C7E" w14:textId="77777777" w:rsidR="0039579E" w:rsidRPr="005C3CE4" w:rsidRDefault="0039579E" w:rsidP="0039579E">
            <w:pPr>
              <w:spacing w:before="0" w:after="0" w:line="240" w:lineRule="auto"/>
              <w:jc w:val="center"/>
            </w:pPr>
            <w:r w:rsidRPr="005C3CE4">
              <w:t>0.160</w:t>
            </w:r>
          </w:p>
        </w:tc>
        <w:tc>
          <w:tcPr>
            <w:tcW w:w="449" w:type="pct"/>
          </w:tcPr>
          <w:p w14:paraId="37B39E96" w14:textId="77777777" w:rsidR="0039579E" w:rsidRPr="005C3CE4" w:rsidRDefault="0039579E" w:rsidP="0039579E">
            <w:pPr>
              <w:spacing w:before="0" w:after="0" w:line="240" w:lineRule="auto"/>
              <w:jc w:val="center"/>
            </w:pPr>
            <w:r w:rsidRPr="005C3CE4">
              <w:t>-0.343</w:t>
            </w:r>
          </w:p>
        </w:tc>
        <w:tc>
          <w:tcPr>
            <w:tcW w:w="434" w:type="pct"/>
          </w:tcPr>
          <w:p w14:paraId="00D7BEE8" w14:textId="77777777" w:rsidR="0039579E" w:rsidRPr="005C3CE4" w:rsidRDefault="0039579E" w:rsidP="0039579E">
            <w:pPr>
              <w:spacing w:before="0" w:after="0" w:line="240" w:lineRule="auto"/>
              <w:jc w:val="center"/>
            </w:pPr>
            <w:r w:rsidRPr="005C3CE4">
              <w:t>0.286</w:t>
            </w:r>
          </w:p>
        </w:tc>
      </w:tr>
      <w:tr w:rsidR="00C53C59" w:rsidRPr="005C3CE4" w14:paraId="6922AD23" w14:textId="77777777" w:rsidTr="00C53C59">
        <w:tc>
          <w:tcPr>
            <w:tcW w:w="2570" w:type="pct"/>
            <w:vMerge/>
          </w:tcPr>
          <w:p w14:paraId="38F8D5F2" w14:textId="77777777" w:rsidR="0039579E" w:rsidRPr="005C3CE4" w:rsidRDefault="0039579E" w:rsidP="0039579E">
            <w:pPr>
              <w:spacing w:before="0" w:after="0" w:line="240" w:lineRule="auto"/>
            </w:pPr>
          </w:p>
        </w:tc>
        <w:tc>
          <w:tcPr>
            <w:tcW w:w="583" w:type="pct"/>
          </w:tcPr>
          <w:p w14:paraId="3D346F2B" w14:textId="77777777" w:rsidR="0039579E" w:rsidRPr="005C3CE4" w:rsidRDefault="0039579E" w:rsidP="0039579E">
            <w:pPr>
              <w:spacing w:before="0" w:after="0" w:line="240" w:lineRule="auto"/>
              <w:jc w:val="center"/>
            </w:pPr>
            <w:r w:rsidRPr="005C3CE4">
              <w:rPr>
                <w:rFonts w:cs="Times New Roman"/>
                <w:sz w:val="16"/>
                <w:szCs w:val="16"/>
                <w:lang w:val="el-GR"/>
              </w:rPr>
              <w:t>β</w:t>
            </w:r>
            <w:proofErr w:type="spellStart"/>
            <w:r w:rsidRPr="005C3CE4">
              <w:rPr>
                <w:rFonts w:cs="Times New Roman"/>
                <w:sz w:val="16"/>
                <w:szCs w:val="16"/>
                <w:vertAlign w:val="subscript"/>
              </w:rPr>
              <w:t>em</w:t>
            </w:r>
            <w:proofErr w:type="spellEnd"/>
          </w:p>
        </w:tc>
        <w:tc>
          <w:tcPr>
            <w:tcW w:w="562" w:type="pct"/>
          </w:tcPr>
          <w:p w14:paraId="1F999EB0" w14:textId="77777777" w:rsidR="0039579E" w:rsidRPr="005C3CE4" w:rsidRDefault="0039579E" w:rsidP="0039579E">
            <w:pPr>
              <w:spacing w:before="0" w:after="0" w:line="240" w:lineRule="auto"/>
              <w:jc w:val="center"/>
            </w:pPr>
            <w:r w:rsidRPr="005C3CE4">
              <w:t>-0.101</w:t>
            </w:r>
          </w:p>
        </w:tc>
        <w:tc>
          <w:tcPr>
            <w:tcW w:w="402" w:type="pct"/>
          </w:tcPr>
          <w:p w14:paraId="63698626" w14:textId="77777777" w:rsidR="0039579E" w:rsidRPr="005C3CE4" w:rsidRDefault="0039579E" w:rsidP="0039579E">
            <w:pPr>
              <w:spacing w:before="0" w:after="0" w:line="240" w:lineRule="auto"/>
              <w:jc w:val="center"/>
            </w:pPr>
            <w:r w:rsidRPr="005C3CE4">
              <w:t>0.161</w:t>
            </w:r>
          </w:p>
        </w:tc>
        <w:tc>
          <w:tcPr>
            <w:tcW w:w="449" w:type="pct"/>
          </w:tcPr>
          <w:p w14:paraId="624C5331" w14:textId="77777777" w:rsidR="0039579E" w:rsidRPr="005C3CE4" w:rsidRDefault="0039579E" w:rsidP="0039579E">
            <w:pPr>
              <w:spacing w:before="0" w:after="0" w:line="240" w:lineRule="auto"/>
              <w:jc w:val="center"/>
            </w:pPr>
            <w:r w:rsidRPr="005C3CE4">
              <w:t>-0.405</w:t>
            </w:r>
          </w:p>
        </w:tc>
        <w:tc>
          <w:tcPr>
            <w:tcW w:w="434" w:type="pct"/>
          </w:tcPr>
          <w:p w14:paraId="25207484" w14:textId="77777777" w:rsidR="0039579E" w:rsidRPr="005C3CE4" w:rsidRDefault="0039579E" w:rsidP="0039579E">
            <w:pPr>
              <w:spacing w:before="0" w:after="0" w:line="240" w:lineRule="auto"/>
              <w:jc w:val="center"/>
            </w:pPr>
            <w:r w:rsidRPr="005C3CE4">
              <w:t>0.226</w:t>
            </w:r>
          </w:p>
        </w:tc>
      </w:tr>
      <w:tr w:rsidR="00C53C59" w:rsidRPr="005C3CE4" w14:paraId="262ED05C" w14:textId="77777777" w:rsidTr="00C53C59">
        <w:tc>
          <w:tcPr>
            <w:tcW w:w="2570" w:type="pct"/>
            <w:vMerge/>
          </w:tcPr>
          <w:p w14:paraId="725918F7" w14:textId="77777777" w:rsidR="0039579E" w:rsidRPr="005C3CE4" w:rsidRDefault="0039579E" w:rsidP="0039579E">
            <w:pPr>
              <w:spacing w:before="0" w:after="0" w:line="240" w:lineRule="auto"/>
            </w:pPr>
          </w:p>
        </w:tc>
        <w:tc>
          <w:tcPr>
            <w:tcW w:w="583" w:type="pct"/>
          </w:tcPr>
          <w:p w14:paraId="5F1FA23B" w14:textId="77777777" w:rsidR="0039579E" w:rsidRPr="005C3CE4" w:rsidRDefault="0039579E" w:rsidP="0039579E">
            <w:pPr>
              <w:spacing w:before="0" w:after="0" w:line="240" w:lineRule="auto"/>
              <w:jc w:val="center"/>
            </w:pPr>
            <w:r w:rsidRPr="005C3CE4">
              <w:rPr>
                <w:rFonts w:cs="Times New Roman"/>
                <w:sz w:val="16"/>
                <w:szCs w:val="16"/>
                <w:lang w:val="el-GR"/>
              </w:rPr>
              <w:t>Φ</w:t>
            </w:r>
            <w:proofErr w:type="spellStart"/>
            <w:r w:rsidRPr="005C3CE4">
              <w:rPr>
                <w:rFonts w:cs="Times New Roman"/>
                <w:sz w:val="16"/>
                <w:szCs w:val="16"/>
                <w:vertAlign w:val="subscript"/>
              </w:rPr>
              <w:t>ee</w:t>
            </w:r>
            <w:proofErr w:type="spellEnd"/>
          </w:p>
        </w:tc>
        <w:tc>
          <w:tcPr>
            <w:tcW w:w="562" w:type="pct"/>
          </w:tcPr>
          <w:p w14:paraId="5B9F9DDA" w14:textId="77777777" w:rsidR="0039579E" w:rsidRPr="005C3CE4" w:rsidRDefault="0039579E" w:rsidP="0039579E">
            <w:pPr>
              <w:spacing w:before="0" w:after="0" w:line="240" w:lineRule="auto"/>
              <w:jc w:val="center"/>
            </w:pPr>
            <w:r w:rsidRPr="005C3CE4">
              <w:t>0.178</w:t>
            </w:r>
          </w:p>
        </w:tc>
        <w:tc>
          <w:tcPr>
            <w:tcW w:w="402" w:type="pct"/>
          </w:tcPr>
          <w:p w14:paraId="1577AE08" w14:textId="77777777" w:rsidR="0039579E" w:rsidRPr="005C3CE4" w:rsidRDefault="0039579E" w:rsidP="0039579E">
            <w:pPr>
              <w:spacing w:before="0" w:after="0" w:line="240" w:lineRule="auto"/>
              <w:jc w:val="center"/>
            </w:pPr>
            <w:r w:rsidRPr="005C3CE4">
              <w:t>0.214</w:t>
            </w:r>
          </w:p>
        </w:tc>
        <w:tc>
          <w:tcPr>
            <w:tcW w:w="449" w:type="pct"/>
          </w:tcPr>
          <w:p w14:paraId="2B5C29B9" w14:textId="77777777" w:rsidR="0039579E" w:rsidRPr="005C3CE4" w:rsidRDefault="0039579E" w:rsidP="0039579E">
            <w:pPr>
              <w:spacing w:before="0" w:after="0" w:line="240" w:lineRule="auto"/>
              <w:jc w:val="center"/>
            </w:pPr>
            <w:r w:rsidRPr="005C3CE4">
              <w:t>-0.265</w:t>
            </w:r>
          </w:p>
        </w:tc>
        <w:tc>
          <w:tcPr>
            <w:tcW w:w="434" w:type="pct"/>
          </w:tcPr>
          <w:p w14:paraId="09B95642" w14:textId="77777777" w:rsidR="0039579E" w:rsidRPr="005C3CE4" w:rsidRDefault="0039579E" w:rsidP="0039579E">
            <w:pPr>
              <w:spacing w:before="0" w:after="0" w:line="240" w:lineRule="auto"/>
              <w:jc w:val="center"/>
            </w:pPr>
            <w:r w:rsidRPr="005C3CE4">
              <w:t>0.556</w:t>
            </w:r>
          </w:p>
        </w:tc>
      </w:tr>
      <w:tr w:rsidR="00C53C59" w:rsidRPr="005C3CE4" w14:paraId="541D6485" w14:textId="77777777" w:rsidTr="00C53C59">
        <w:tc>
          <w:tcPr>
            <w:tcW w:w="2570" w:type="pct"/>
            <w:vMerge/>
          </w:tcPr>
          <w:p w14:paraId="6CFC1D9B" w14:textId="77777777" w:rsidR="0039579E" w:rsidRPr="005C3CE4" w:rsidRDefault="0039579E" w:rsidP="0039579E">
            <w:pPr>
              <w:spacing w:before="0" w:after="0" w:line="240" w:lineRule="auto"/>
            </w:pPr>
          </w:p>
        </w:tc>
        <w:tc>
          <w:tcPr>
            <w:tcW w:w="583" w:type="pct"/>
          </w:tcPr>
          <w:p w14:paraId="1F08A864" w14:textId="77777777" w:rsidR="0039579E" w:rsidRPr="005C3CE4" w:rsidRDefault="0039579E" w:rsidP="0039579E">
            <w:pPr>
              <w:spacing w:before="0" w:after="0" w:line="240" w:lineRule="auto"/>
              <w:jc w:val="center"/>
            </w:pPr>
            <w:r w:rsidRPr="005C3CE4">
              <w:rPr>
                <w:rFonts w:cs="Times New Roman"/>
                <w:sz w:val="16"/>
                <w:szCs w:val="16"/>
                <w:lang w:val="el-GR"/>
              </w:rPr>
              <w:t>β</w:t>
            </w:r>
            <w:r w:rsidRPr="005C3CE4">
              <w:rPr>
                <w:rFonts w:cs="Times New Roman"/>
                <w:sz w:val="16"/>
                <w:szCs w:val="16"/>
                <w:vertAlign w:val="subscript"/>
              </w:rPr>
              <w:t>me</w:t>
            </w:r>
          </w:p>
        </w:tc>
        <w:tc>
          <w:tcPr>
            <w:tcW w:w="562" w:type="pct"/>
          </w:tcPr>
          <w:p w14:paraId="2A30B927" w14:textId="77777777" w:rsidR="0039579E" w:rsidRPr="005C3CE4" w:rsidRDefault="0039579E" w:rsidP="0039579E">
            <w:pPr>
              <w:spacing w:before="0" w:after="0" w:line="240" w:lineRule="auto"/>
              <w:jc w:val="center"/>
            </w:pPr>
            <w:r w:rsidRPr="005C3CE4">
              <w:t>-0.294</w:t>
            </w:r>
          </w:p>
        </w:tc>
        <w:tc>
          <w:tcPr>
            <w:tcW w:w="402" w:type="pct"/>
          </w:tcPr>
          <w:p w14:paraId="2A3BE92E" w14:textId="77777777" w:rsidR="0039579E" w:rsidRPr="005C3CE4" w:rsidRDefault="0039579E" w:rsidP="0039579E">
            <w:pPr>
              <w:spacing w:before="0" w:after="0" w:line="240" w:lineRule="auto"/>
              <w:jc w:val="center"/>
            </w:pPr>
            <w:r w:rsidRPr="005C3CE4">
              <w:t>0.161</w:t>
            </w:r>
          </w:p>
        </w:tc>
        <w:tc>
          <w:tcPr>
            <w:tcW w:w="449" w:type="pct"/>
          </w:tcPr>
          <w:p w14:paraId="576D65A6" w14:textId="77777777" w:rsidR="0039579E" w:rsidRPr="005C3CE4" w:rsidRDefault="0039579E" w:rsidP="0039579E">
            <w:pPr>
              <w:spacing w:before="0" w:after="0" w:line="240" w:lineRule="auto"/>
              <w:jc w:val="center"/>
            </w:pPr>
            <w:r w:rsidRPr="005C3CE4">
              <w:t>-0.583</w:t>
            </w:r>
          </w:p>
        </w:tc>
        <w:tc>
          <w:tcPr>
            <w:tcW w:w="434" w:type="pct"/>
          </w:tcPr>
          <w:p w14:paraId="1AE16647" w14:textId="77777777" w:rsidR="0039579E" w:rsidRPr="005C3CE4" w:rsidRDefault="0039579E" w:rsidP="0039579E">
            <w:pPr>
              <w:spacing w:before="0" w:after="0" w:line="240" w:lineRule="auto"/>
              <w:jc w:val="center"/>
            </w:pPr>
            <w:r w:rsidRPr="005C3CE4">
              <w:t>0.036</w:t>
            </w:r>
          </w:p>
        </w:tc>
      </w:tr>
      <w:tr w:rsidR="00C53C59" w:rsidRPr="005C3CE4" w14:paraId="137D05D7" w14:textId="77777777" w:rsidTr="00C53C59">
        <w:tc>
          <w:tcPr>
            <w:tcW w:w="2570" w:type="pct"/>
            <w:vMerge w:val="restart"/>
          </w:tcPr>
          <w:p w14:paraId="06A61B09" w14:textId="357AB2C2" w:rsidR="0039579E" w:rsidRPr="005C3CE4" w:rsidRDefault="008B56F7" w:rsidP="0039579E">
            <w:pPr>
              <w:spacing w:before="0" w:after="0" w:line="240" w:lineRule="auto"/>
            </w:pPr>
            <w:r>
              <w:t>N</w:t>
            </w:r>
            <w:r w:rsidRPr="00C7748A">
              <w:t xml:space="preserve">umber of years playing </w:t>
            </w:r>
            <w:proofErr w:type="spellStart"/>
            <w:r w:rsidRPr="00C7748A">
              <w:t>esport</w:t>
            </w:r>
            <w:proofErr w:type="spellEnd"/>
          </w:p>
        </w:tc>
        <w:tc>
          <w:tcPr>
            <w:tcW w:w="583" w:type="pct"/>
          </w:tcPr>
          <w:p w14:paraId="2D67DE25" w14:textId="794A7702" w:rsidR="0039579E" w:rsidRPr="005C3CE4" w:rsidRDefault="00BC07DA" w:rsidP="0039579E">
            <w:pPr>
              <w:spacing w:before="0" w:after="0" w:line="240" w:lineRule="auto"/>
              <w:jc w:val="center"/>
            </w:pPr>
            <w:r w:rsidRPr="005C3CE4">
              <w:rPr>
                <w:rFonts w:cs="Times New Roman"/>
                <w:sz w:val="16"/>
                <w:szCs w:val="16"/>
                <w:lang w:val="el-GR"/>
              </w:rPr>
              <w:t>μ</w:t>
            </w:r>
            <w:r w:rsidRPr="00BC07DA">
              <w:rPr>
                <w:rFonts w:cs="Times New Roman"/>
                <w:sz w:val="16"/>
                <w:szCs w:val="16"/>
                <w:vertAlign w:val="subscript"/>
              </w:rPr>
              <w:t>ep</w:t>
            </w:r>
            <w:r w:rsidRPr="005C3CE4">
              <w:rPr>
                <w:rFonts w:cs="Times New Roman"/>
                <w:sz w:val="16"/>
                <w:szCs w:val="16"/>
                <w:vertAlign w:val="subscript"/>
              </w:rPr>
              <w:t>i</w:t>
            </w:r>
          </w:p>
        </w:tc>
        <w:tc>
          <w:tcPr>
            <w:tcW w:w="562" w:type="pct"/>
          </w:tcPr>
          <w:p w14:paraId="04C1FBED" w14:textId="77777777" w:rsidR="0039579E" w:rsidRPr="005C3CE4" w:rsidRDefault="0039579E" w:rsidP="0039579E">
            <w:pPr>
              <w:spacing w:before="0" w:after="0" w:line="240" w:lineRule="auto"/>
              <w:jc w:val="center"/>
            </w:pPr>
            <w:r w:rsidRPr="005C3CE4">
              <w:t>0.107</w:t>
            </w:r>
          </w:p>
        </w:tc>
        <w:tc>
          <w:tcPr>
            <w:tcW w:w="402" w:type="pct"/>
          </w:tcPr>
          <w:p w14:paraId="20EA5558" w14:textId="77777777" w:rsidR="0039579E" w:rsidRPr="005C3CE4" w:rsidRDefault="0039579E" w:rsidP="0039579E">
            <w:pPr>
              <w:spacing w:before="0" w:after="0" w:line="240" w:lineRule="auto"/>
              <w:jc w:val="center"/>
            </w:pPr>
            <w:r w:rsidRPr="005C3CE4">
              <w:t>0.145</w:t>
            </w:r>
          </w:p>
        </w:tc>
        <w:tc>
          <w:tcPr>
            <w:tcW w:w="449" w:type="pct"/>
          </w:tcPr>
          <w:p w14:paraId="58D8C4D1" w14:textId="77777777" w:rsidR="0039579E" w:rsidRPr="005C3CE4" w:rsidRDefault="0039579E" w:rsidP="0039579E">
            <w:pPr>
              <w:spacing w:before="0" w:after="0" w:line="240" w:lineRule="auto"/>
              <w:jc w:val="center"/>
            </w:pPr>
            <w:r w:rsidRPr="005C3CE4">
              <w:t>-0.180</w:t>
            </w:r>
          </w:p>
        </w:tc>
        <w:tc>
          <w:tcPr>
            <w:tcW w:w="434" w:type="pct"/>
          </w:tcPr>
          <w:p w14:paraId="0F037A71" w14:textId="77777777" w:rsidR="0039579E" w:rsidRPr="005C3CE4" w:rsidRDefault="0039579E" w:rsidP="0039579E">
            <w:pPr>
              <w:spacing w:before="0" w:after="0" w:line="240" w:lineRule="auto"/>
              <w:jc w:val="center"/>
            </w:pPr>
            <w:r w:rsidRPr="005C3CE4">
              <w:t>0.383</w:t>
            </w:r>
          </w:p>
        </w:tc>
      </w:tr>
      <w:tr w:rsidR="00C53C59" w:rsidRPr="005C3CE4" w14:paraId="23973EFF" w14:textId="77777777" w:rsidTr="00C53C59">
        <w:tc>
          <w:tcPr>
            <w:tcW w:w="2570" w:type="pct"/>
            <w:vMerge/>
          </w:tcPr>
          <w:p w14:paraId="3E55B2D7" w14:textId="77777777" w:rsidR="0039579E" w:rsidRPr="005C3CE4" w:rsidRDefault="0039579E" w:rsidP="0039579E">
            <w:pPr>
              <w:spacing w:before="0" w:after="0" w:line="240" w:lineRule="auto"/>
            </w:pPr>
          </w:p>
        </w:tc>
        <w:tc>
          <w:tcPr>
            <w:tcW w:w="583" w:type="pct"/>
          </w:tcPr>
          <w:p w14:paraId="78BAC29C" w14:textId="29D3448A" w:rsidR="0039579E" w:rsidRPr="005C3CE4" w:rsidRDefault="00FC4495" w:rsidP="0039579E">
            <w:pPr>
              <w:spacing w:before="0" w:after="0" w:line="240" w:lineRule="auto"/>
              <w:jc w:val="center"/>
            </w:pPr>
            <w:r w:rsidRPr="005C3CE4">
              <w:rPr>
                <w:rFonts w:cs="Times New Roman"/>
                <w:sz w:val="16"/>
                <w:szCs w:val="16"/>
                <w:lang w:val="el-GR"/>
              </w:rPr>
              <w:t>μ</w:t>
            </w:r>
            <w:proofErr w:type="spellStart"/>
            <w:r w:rsidRPr="00FC4495">
              <w:rPr>
                <w:rFonts w:cs="Times New Roman"/>
                <w:sz w:val="16"/>
                <w:szCs w:val="16"/>
                <w:vertAlign w:val="subscript"/>
              </w:rPr>
              <w:t>mf</w:t>
            </w:r>
            <w:r w:rsidRPr="005C3CE4">
              <w:rPr>
                <w:rFonts w:cs="Times New Roman"/>
                <w:sz w:val="16"/>
                <w:szCs w:val="16"/>
                <w:vertAlign w:val="subscript"/>
              </w:rPr>
              <w:t>i</w:t>
            </w:r>
            <w:proofErr w:type="spellEnd"/>
          </w:p>
        </w:tc>
        <w:tc>
          <w:tcPr>
            <w:tcW w:w="562" w:type="pct"/>
          </w:tcPr>
          <w:p w14:paraId="2FC8D914" w14:textId="77777777" w:rsidR="0039579E" w:rsidRPr="005C3CE4" w:rsidRDefault="0039579E" w:rsidP="0039579E">
            <w:pPr>
              <w:spacing w:before="0" w:after="0" w:line="240" w:lineRule="auto"/>
              <w:jc w:val="center"/>
            </w:pPr>
            <w:r w:rsidRPr="005C3CE4">
              <w:t>0.015</w:t>
            </w:r>
          </w:p>
        </w:tc>
        <w:tc>
          <w:tcPr>
            <w:tcW w:w="402" w:type="pct"/>
          </w:tcPr>
          <w:p w14:paraId="473C983A" w14:textId="77777777" w:rsidR="0039579E" w:rsidRPr="005C3CE4" w:rsidRDefault="0039579E" w:rsidP="0039579E">
            <w:pPr>
              <w:spacing w:before="0" w:after="0" w:line="240" w:lineRule="auto"/>
              <w:jc w:val="center"/>
            </w:pPr>
            <w:r w:rsidRPr="005C3CE4">
              <w:t>0.146</w:t>
            </w:r>
          </w:p>
        </w:tc>
        <w:tc>
          <w:tcPr>
            <w:tcW w:w="449" w:type="pct"/>
          </w:tcPr>
          <w:p w14:paraId="7AA8B93E" w14:textId="77777777" w:rsidR="0039579E" w:rsidRPr="005C3CE4" w:rsidRDefault="0039579E" w:rsidP="0039579E">
            <w:pPr>
              <w:spacing w:before="0" w:after="0" w:line="240" w:lineRule="auto"/>
              <w:jc w:val="center"/>
            </w:pPr>
            <w:r w:rsidRPr="005C3CE4">
              <w:t>-0.264</w:t>
            </w:r>
          </w:p>
        </w:tc>
        <w:tc>
          <w:tcPr>
            <w:tcW w:w="434" w:type="pct"/>
          </w:tcPr>
          <w:p w14:paraId="35D76700" w14:textId="77777777" w:rsidR="0039579E" w:rsidRPr="005C3CE4" w:rsidRDefault="0039579E" w:rsidP="0039579E">
            <w:pPr>
              <w:spacing w:before="0" w:after="0" w:line="240" w:lineRule="auto"/>
              <w:jc w:val="center"/>
            </w:pPr>
            <w:r w:rsidRPr="005C3CE4">
              <w:t>0.303</w:t>
            </w:r>
          </w:p>
        </w:tc>
      </w:tr>
      <w:tr w:rsidR="00C53C59" w:rsidRPr="005C3CE4" w14:paraId="793DA39C" w14:textId="77777777" w:rsidTr="00C53C59">
        <w:tc>
          <w:tcPr>
            <w:tcW w:w="2570" w:type="pct"/>
            <w:vMerge/>
          </w:tcPr>
          <w:p w14:paraId="7C5887DD" w14:textId="77777777" w:rsidR="0039579E" w:rsidRPr="005C3CE4" w:rsidRDefault="0039579E" w:rsidP="0039579E">
            <w:pPr>
              <w:spacing w:before="0" w:after="0" w:line="240" w:lineRule="auto"/>
            </w:pPr>
          </w:p>
        </w:tc>
        <w:tc>
          <w:tcPr>
            <w:tcW w:w="583" w:type="pct"/>
          </w:tcPr>
          <w:p w14:paraId="6B611135" w14:textId="77777777" w:rsidR="0039579E" w:rsidRPr="005C3CE4" w:rsidRDefault="0039579E" w:rsidP="0039579E">
            <w:pPr>
              <w:spacing w:before="0" w:after="0" w:line="240" w:lineRule="auto"/>
              <w:jc w:val="center"/>
            </w:pPr>
            <w:r w:rsidRPr="005C3CE4">
              <w:rPr>
                <w:rFonts w:cs="Times New Roman"/>
                <w:sz w:val="16"/>
                <w:szCs w:val="16"/>
                <w:lang w:val="el-GR"/>
              </w:rPr>
              <w:t>Φ</w:t>
            </w:r>
            <w:r w:rsidRPr="005C3CE4">
              <w:rPr>
                <w:rFonts w:cs="Times New Roman"/>
                <w:sz w:val="16"/>
                <w:szCs w:val="16"/>
                <w:vertAlign w:val="subscript"/>
              </w:rPr>
              <w:t>mm</w:t>
            </w:r>
          </w:p>
        </w:tc>
        <w:tc>
          <w:tcPr>
            <w:tcW w:w="562" w:type="pct"/>
          </w:tcPr>
          <w:p w14:paraId="05DE1C10" w14:textId="77777777" w:rsidR="0039579E" w:rsidRPr="005C3CE4" w:rsidRDefault="0039579E" w:rsidP="0039579E">
            <w:pPr>
              <w:spacing w:before="0" w:after="0" w:line="240" w:lineRule="auto"/>
              <w:jc w:val="center"/>
            </w:pPr>
            <w:r w:rsidRPr="005C3CE4">
              <w:t>-0.223</w:t>
            </w:r>
          </w:p>
        </w:tc>
        <w:tc>
          <w:tcPr>
            <w:tcW w:w="402" w:type="pct"/>
          </w:tcPr>
          <w:p w14:paraId="34E74464" w14:textId="77777777" w:rsidR="0039579E" w:rsidRPr="005C3CE4" w:rsidRDefault="0039579E" w:rsidP="0039579E">
            <w:pPr>
              <w:spacing w:before="0" w:after="0" w:line="240" w:lineRule="auto"/>
              <w:jc w:val="center"/>
            </w:pPr>
            <w:r w:rsidRPr="005C3CE4">
              <w:t>0.168</w:t>
            </w:r>
          </w:p>
        </w:tc>
        <w:tc>
          <w:tcPr>
            <w:tcW w:w="449" w:type="pct"/>
          </w:tcPr>
          <w:p w14:paraId="27377B1C" w14:textId="77777777" w:rsidR="0039579E" w:rsidRPr="005C3CE4" w:rsidRDefault="0039579E" w:rsidP="0039579E">
            <w:pPr>
              <w:spacing w:before="0" w:after="0" w:line="240" w:lineRule="auto"/>
              <w:jc w:val="center"/>
            </w:pPr>
            <w:r w:rsidRPr="005C3CE4">
              <w:t>-0.520</w:t>
            </w:r>
          </w:p>
        </w:tc>
        <w:tc>
          <w:tcPr>
            <w:tcW w:w="434" w:type="pct"/>
          </w:tcPr>
          <w:p w14:paraId="167A9F4A" w14:textId="77777777" w:rsidR="0039579E" w:rsidRPr="005C3CE4" w:rsidRDefault="0039579E" w:rsidP="0039579E">
            <w:pPr>
              <w:spacing w:before="0" w:after="0" w:line="240" w:lineRule="auto"/>
              <w:jc w:val="center"/>
            </w:pPr>
            <w:r w:rsidRPr="005C3CE4">
              <w:t>0.133</w:t>
            </w:r>
          </w:p>
        </w:tc>
      </w:tr>
      <w:tr w:rsidR="00C53C59" w:rsidRPr="005C3CE4" w14:paraId="007B54C9" w14:textId="77777777" w:rsidTr="00C53C59">
        <w:tc>
          <w:tcPr>
            <w:tcW w:w="2570" w:type="pct"/>
            <w:vMerge/>
          </w:tcPr>
          <w:p w14:paraId="4CBA8DAF" w14:textId="77777777" w:rsidR="0039579E" w:rsidRPr="005C3CE4" w:rsidRDefault="0039579E" w:rsidP="0039579E">
            <w:pPr>
              <w:spacing w:before="0" w:after="0" w:line="240" w:lineRule="auto"/>
            </w:pPr>
          </w:p>
        </w:tc>
        <w:tc>
          <w:tcPr>
            <w:tcW w:w="583" w:type="pct"/>
          </w:tcPr>
          <w:p w14:paraId="2BDA4FB6" w14:textId="77777777" w:rsidR="0039579E" w:rsidRPr="005C3CE4" w:rsidRDefault="0039579E" w:rsidP="0039579E">
            <w:pPr>
              <w:spacing w:before="0" w:after="0" w:line="240" w:lineRule="auto"/>
              <w:jc w:val="center"/>
            </w:pPr>
            <w:r w:rsidRPr="005C3CE4">
              <w:rPr>
                <w:rFonts w:cs="Times New Roman"/>
                <w:sz w:val="16"/>
                <w:szCs w:val="16"/>
                <w:lang w:val="el-GR"/>
              </w:rPr>
              <w:t>β</w:t>
            </w:r>
            <w:proofErr w:type="spellStart"/>
            <w:r w:rsidRPr="005C3CE4">
              <w:rPr>
                <w:rFonts w:cs="Times New Roman"/>
                <w:sz w:val="16"/>
                <w:szCs w:val="16"/>
                <w:vertAlign w:val="subscript"/>
              </w:rPr>
              <w:t>em</w:t>
            </w:r>
            <w:proofErr w:type="spellEnd"/>
          </w:p>
        </w:tc>
        <w:tc>
          <w:tcPr>
            <w:tcW w:w="562" w:type="pct"/>
          </w:tcPr>
          <w:p w14:paraId="7130CA7D" w14:textId="77777777" w:rsidR="0039579E" w:rsidRPr="005C3CE4" w:rsidRDefault="0039579E" w:rsidP="0039579E">
            <w:pPr>
              <w:spacing w:before="0" w:after="0" w:line="240" w:lineRule="auto"/>
              <w:jc w:val="center"/>
            </w:pPr>
            <w:r w:rsidRPr="005C3CE4">
              <w:t>-0.293</w:t>
            </w:r>
          </w:p>
        </w:tc>
        <w:tc>
          <w:tcPr>
            <w:tcW w:w="402" w:type="pct"/>
          </w:tcPr>
          <w:p w14:paraId="77D50149" w14:textId="77777777" w:rsidR="0039579E" w:rsidRPr="005C3CE4" w:rsidRDefault="0039579E" w:rsidP="0039579E">
            <w:pPr>
              <w:spacing w:before="0" w:after="0" w:line="240" w:lineRule="auto"/>
              <w:jc w:val="center"/>
            </w:pPr>
            <w:r w:rsidRPr="005C3CE4">
              <w:t>0.159</w:t>
            </w:r>
          </w:p>
        </w:tc>
        <w:tc>
          <w:tcPr>
            <w:tcW w:w="449" w:type="pct"/>
          </w:tcPr>
          <w:p w14:paraId="419F52AB" w14:textId="77777777" w:rsidR="0039579E" w:rsidRPr="005C3CE4" w:rsidRDefault="0039579E" w:rsidP="0039579E">
            <w:pPr>
              <w:spacing w:before="0" w:after="0" w:line="240" w:lineRule="auto"/>
              <w:jc w:val="center"/>
            </w:pPr>
            <w:r w:rsidRPr="005C3CE4">
              <w:t>-0.570</w:t>
            </w:r>
          </w:p>
        </w:tc>
        <w:tc>
          <w:tcPr>
            <w:tcW w:w="434" w:type="pct"/>
          </w:tcPr>
          <w:p w14:paraId="18333B6C" w14:textId="77777777" w:rsidR="0039579E" w:rsidRPr="005C3CE4" w:rsidRDefault="0039579E" w:rsidP="0039579E">
            <w:pPr>
              <w:spacing w:before="0" w:after="0" w:line="240" w:lineRule="auto"/>
              <w:jc w:val="center"/>
            </w:pPr>
            <w:r w:rsidRPr="005C3CE4">
              <w:t>0.051</w:t>
            </w:r>
          </w:p>
        </w:tc>
      </w:tr>
      <w:tr w:rsidR="00C53C59" w:rsidRPr="005C3CE4" w14:paraId="372B58A1" w14:textId="77777777" w:rsidTr="00C53C59">
        <w:tc>
          <w:tcPr>
            <w:tcW w:w="2570" w:type="pct"/>
            <w:vMerge/>
          </w:tcPr>
          <w:p w14:paraId="16705F7D" w14:textId="77777777" w:rsidR="0039579E" w:rsidRPr="005C3CE4" w:rsidRDefault="0039579E" w:rsidP="0039579E">
            <w:pPr>
              <w:spacing w:before="0" w:after="0" w:line="240" w:lineRule="auto"/>
            </w:pPr>
          </w:p>
        </w:tc>
        <w:tc>
          <w:tcPr>
            <w:tcW w:w="583" w:type="pct"/>
          </w:tcPr>
          <w:p w14:paraId="700C084A" w14:textId="77777777" w:rsidR="0039579E" w:rsidRPr="005C3CE4" w:rsidRDefault="0039579E" w:rsidP="0039579E">
            <w:pPr>
              <w:spacing w:before="0" w:after="0" w:line="240" w:lineRule="auto"/>
              <w:jc w:val="center"/>
            </w:pPr>
            <w:r w:rsidRPr="005C3CE4">
              <w:rPr>
                <w:rFonts w:cs="Times New Roman"/>
                <w:sz w:val="16"/>
                <w:szCs w:val="16"/>
                <w:lang w:val="el-GR"/>
              </w:rPr>
              <w:t>Φ</w:t>
            </w:r>
            <w:proofErr w:type="spellStart"/>
            <w:r w:rsidRPr="005C3CE4">
              <w:rPr>
                <w:rFonts w:cs="Times New Roman"/>
                <w:sz w:val="16"/>
                <w:szCs w:val="16"/>
                <w:vertAlign w:val="subscript"/>
              </w:rPr>
              <w:t>ee</w:t>
            </w:r>
            <w:proofErr w:type="spellEnd"/>
          </w:p>
        </w:tc>
        <w:tc>
          <w:tcPr>
            <w:tcW w:w="562" w:type="pct"/>
          </w:tcPr>
          <w:p w14:paraId="18A6E7F9" w14:textId="77777777" w:rsidR="0039579E" w:rsidRPr="005C3CE4" w:rsidRDefault="0039579E" w:rsidP="0039579E">
            <w:pPr>
              <w:spacing w:before="0" w:after="0" w:line="240" w:lineRule="auto"/>
              <w:jc w:val="center"/>
            </w:pPr>
            <w:r w:rsidRPr="005C3CE4">
              <w:t>0.047</w:t>
            </w:r>
          </w:p>
        </w:tc>
        <w:tc>
          <w:tcPr>
            <w:tcW w:w="402" w:type="pct"/>
          </w:tcPr>
          <w:p w14:paraId="561DF8AC" w14:textId="77777777" w:rsidR="0039579E" w:rsidRPr="005C3CE4" w:rsidRDefault="0039579E" w:rsidP="0039579E">
            <w:pPr>
              <w:spacing w:before="0" w:after="0" w:line="240" w:lineRule="auto"/>
              <w:jc w:val="center"/>
            </w:pPr>
            <w:r w:rsidRPr="005C3CE4">
              <w:t>0.201</w:t>
            </w:r>
          </w:p>
        </w:tc>
        <w:tc>
          <w:tcPr>
            <w:tcW w:w="449" w:type="pct"/>
          </w:tcPr>
          <w:p w14:paraId="56D9C7AF" w14:textId="77777777" w:rsidR="0039579E" w:rsidRPr="005C3CE4" w:rsidRDefault="0039579E" w:rsidP="0039579E">
            <w:pPr>
              <w:spacing w:before="0" w:after="0" w:line="240" w:lineRule="auto"/>
              <w:jc w:val="center"/>
            </w:pPr>
            <w:r w:rsidRPr="005C3CE4">
              <w:t>-0.343</w:t>
            </w:r>
          </w:p>
        </w:tc>
        <w:tc>
          <w:tcPr>
            <w:tcW w:w="434" w:type="pct"/>
          </w:tcPr>
          <w:p w14:paraId="7BCE5F4F" w14:textId="77777777" w:rsidR="0039579E" w:rsidRPr="005C3CE4" w:rsidRDefault="0039579E" w:rsidP="0039579E">
            <w:pPr>
              <w:spacing w:before="0" w:after="0" w:line="240" w:lineRule="auto"/>
              <w:jc w:val="center"/>
            </w:pPr>
            <w:r w:rsidRPr="005C3CE4">
              <w:t>0.441</w:t>
            </w:r>
          </w:p>
        </w:tc>
      </w:tr>
      <w:tr w:rsidR="00C53C59" w:rsidRPr="005C3CE4" w14:paraId="31282B2D" w14:textId="77777777" w:rsidTr="00C53C59">
        <w:tc>
          <w:tcPr>
            <w:tcW w:w="2570" w:type="pct"/>
            <w:vMerge/>
            <w:tcBorders>
              <w:bottom w:val="single" w:sz="4" w:space="0" w:color="000000"/>
            </w:tcBorders>
          </w:tcPr>
          <w:p w14:paraId="14F3E6F1" w14:textId="77777777" w:rsidR="0039579E" w:rsidRPr="005C3CE4" w:rsidRDefault="0039579E" w:rsidP="0039579E">
            <w:pPr>
              <w:spacing w:before="0" w:after="0" w:line="240" w:lineRule="auto"/>
            </w:pPr>
          </w:p>
        </w:tc>
        <w:tc>
          <w:tcPr>
            <w:tcW w:w="583" w:type="pct"/>
            <w:tcBorders>
              <w:bottom w:val="single" w:sz="4" w:space="0" w:color="000000"/>
            </w:tcBorders>
          </w:tcPr>
          <w:p w14:paraId="6BEF65D8" w14:textId="77777777" w:rsidR="0039579E" w:rsidRPr="005C3CE4" w:rsidRDefault="0039579E" w:rsidP="0039579E">
            <w:pPr>
              <w:spacing w:before="0" w:after="0" w:line="240" w:lineRule="auto"/>
              <w:jc w:val="center"/>
            </w:pPr>
            <w:r w:rsidRPr="005C3CE4">
              <w:rPr>
                <w:rFonts w:cs="Times New Roman"/>
                <w:sz w:val="16"/>
                <w:szCs w:val="16"/>
                <w:lang w:val="el-GR"/>
              </w:rPr>
              <w:t>β</w:t>
            </w:r>
            <w:r w:rsidRPr="005C3CE4">
              <w:rPr>
                <w:rFonts w:cs="Times New Roman"/>
                <w:sz w:val="16"/>
                <w:szCs w:val="16"/>
                <w:vertAlign w:val="subscript"/>
              </w:rPr>
              <w:t>me</w:t>
            </w:r>
          </w:p>
        </w:tc>
        <w:tc>
          <w:tcPr>
            <w:tcW w:w="562" w:type="pct"/>
            <w:tcBorders>
              <w:bottom w:val="single" w:sz="4" w:space="0" w:color="000000"/>
            </w:tcBorders>
          </w:tcPr>
          <w:p w14:paraId="5A22F572" w14:textId="77777777" w:rsidR="0039579E" w:rsidRPr="005C3CE4" w:rsidRDefault="0039579E" w:rsidP="0039579E">
            <w:pPr>
              <w:spacing w:before="0" w:after="0" w:line="240" w:lineRule="auto"/>
              <w:jc w:val="center"/>
            </w:pPr>
            <w:r w:rsidRPr="005C3CE4">
              <w:t>-0.068</w:t>
            </w:r>
          </w:p>
        </w:tc>
        <w:tc>
          <w:tcPr>
            <w:tcW w:w="402" w:type="pct"/>
            <w:tcBorders>
              <w:bottom w:val="single" w:sz="4" w:space="0" w:color="000000"/>
            </w:tcBorders>
          </w:tcPr>
          <w:p w14:paraId="0A2EF880" w14:textId="77777777" w:rsidR="0039579E" w:rsidRPr="005C3CE4" w:rsidRDefault="0039579E" w:rsidP="0039579E">
            <w:pPr>
              <w:spacing w:before="0" w:after="0" w:line="240" w:lineRule="auto"/>
              <w:jc w:val="center"/>
            </w:pPr>
            <w:r w:rsidRPr="005C3CE4">
              <w:t>0.166</w:t>
            </w:r>
          </w:p>
        </w:tc>
        <w:tc>
          <w:tcPr>
            <w:tcW w:w="449" w:type="pct"/>
            <w:tcBorders>
              <w:bottom w:val="single" w:sz="4" w:space="0" w:color="000000"/>
            </w:tcBorders>
          </w:tcPr>
          <w:p w14:paraId="46FFF10F" w14:textId="77777777" w:rsidR="0039579E" w:rsidRPr="005C3CE4" w:rsidRDefault="0039579E" w:rsidP="0039579E">
            <w:pPr>
              <w:spacing w:before="0" w:after="0" w:line="240" w:lineRule="auto"/>
              <w:jc w:val="center"/>
            </w:pPr>
            <w:r w:rsidRPr="005C3CE4">
              <w:t>-0.390</w:t>
            </w:r>
          </w:p>
        </w:tc>
        <w:tc>
          <w:tcPr>
            <w:tcW w:w="434" w:type="pct"/>
            <w:tcBorders>
              <w:bottom w:val="single" w:sz="4" w:space="0" w:color="000000"/>
            </w:tcBorders>
          </w:tcPr>
          <w:p w14:paraId="63CFACE1" w14:textId="77777777" w:rsidR="0039579E" w:rsidRPr="005C3CE4" w:rsidRDefault="0039579E" w:rsidP="0039579E">
            <w:pPr>
              <w:spacing w:before="0" w:after="0" w:line="240" w:lineRule="auto"/>
              <w:jc w:val="center"/>
            </w:pPr>
            <w:r w:rsidRPr="005C3CE4">
              <w:t>0.260</w:t>
            </w:r>
          </w:p>
        </w:tc>
      </w:tr>
    </w:tbl>
    <w:p w14:paraId="00E42D69" w14:textId="4DBE77DD" w:rsidR="00837107" w:rsidRPr="005C3CE4" w:rsidRDefault="003C1D33" w:rsidP="00837107">
      <w:pPr>
        <w:pStyle w:val="BodyText"/>
        <w:ind w:firstLine="0"/>
      </w:pPr>
      <w:r w:rsidRPr="00382590">
        <w:rPr>
          <w:rFonts w:cs="Times New Roman"/>
          <w:i/>
          <w:iCs/>
        </w:rPr>
        <w:t>Note.</w:t>
      </w:r>
      <w:r>
        <w:rPr>
          <w:rFonts w:cs="Times New Roman"/>
        </w:rPr>
        <w:t xml:space="preserve"> </w:t>
      </w:r>
      <w:r w:rsidR="005B331A" w:rsidRPr="005C3CE4">
        <w:rPr>
          <w:rFonts w:cs="Times New Roman"/>
          <w:lang w:val="el-GR"/>
        </w:rPr>
        <w:t>μ</w:t>
      </w:r>
      <w:r w:rsidR="00752E10">
        <w:rPr>
          <w:rFonts w:cs="Times New Roman"/>
          <w:vertAlign w:val="subscript"/>
        </w:rPr>
        <w:t>ep</w:t>
      </w:r>
      <w:r w:rsidR="005B331A" w:rsidRPr="005C3CE4">
        <w:rPr>
          <w:rFonts w:cs="Times New Roman"/>
          <w:vertAlign w:val="subscript"/>
        </w:rPr>
        <w:t xml:space="preserve">i </w:t>
      </w:r>
      <w:r w:rsidR="005B331A" w:rsidRPr="005C3CE4">
        <w:rPr>
          <w:rFonts w:cs="Times New Roman"/>
        </w:rPr>
        <w:t xml:space="preserve">= </w:t>
      </w:r>
      <w:r w:rsidR="00907881">
        <w:rPr>
          <w:rFonts w:cs="Times New Roman"/>
        </w:rPr>
        <w:t>mean</w:t>
      </w:r>
      <w:r w:rsidR="0010499C">
        <w:rPr>
          <w:rFonts w:cs="Times New Roman"/>
        </w:rPr>
        <w:t xml:space="preserve"> </w:t>
      </w:r>
      <w:proofErr w:type="spellStart"/>
      <w:r w:rsidR="0010499C">
        <w:rPr>
          <w:rFonts w:cs="Times New Roman"/>
        </w:rPr>
        <w:t>esport</w:t>
      </w:r>
      <w:proofErr w:type="spellEnd"/>
      <w:r w:rsidR="0010499C">
        <w:rPr>
          <w:rFonts w:cs="Times New Roman"/>
        </w:rPr>
        <w:t xml:space="preserve"> participation</w:t>
      </w:r>
      <w:r w:rsidR="005B331A" w:rsidRPr="005C3CE4">
        <w:rPr>
          <w:rFonts w:cs="Times New Roman"/>
        </w:rPr>
        <w:t xml:space="preserve">; </w:t>
      </w:r>
      <w:r w:rsidR="005B331A" w:rsidRPr="005C3CE4">
        <w:rPr>
          <w:rFonts w:cs="Times New Roman"/>
          <w:lang w:val="el-GR"/>
        </w:rPr>
        <w:t>μ</w:t>
      </w:r>
      <w:proofErr w:type="spellStart"/>
      <w:r w:rsidR="00752E10">
        <w:rPr>
          <w:rFonts w:cs="Times New Roman"/>
          <w:vertAlign w:val="subscript"/>
        </w:rPr>
        <w:t>mf</w:t>
      </w:r>
      <w:r w:rsidR="005B331A" w:rsidRPr="005C3CE4">
        <w:rPr>
          <w:rFonts w:cs="Times New Roman"/>
          <w:vertAlign w:val="subscript"/>
        </w:rPr>
        <w:t>i</w:t>
      </w:r>
      <w:proofErr w:type="spellEnd"/>
      <w:r w:rsidR="005B331A" w:rsidRPr="005C3CE4">
        <w:rPr>
          <w:rFonts w:cs="Times New Roman"/>
          <w:vertAlign w:val="subscript"/>
        </w:rPr>
        <w:t xml:space="preserve"> </w:t>
      </w:r>
      <w:r w:rsidR="005B331A" w:rsidRPr="005C3CE4">
        <w:rPr>
          <w:rFonts w:cs="Times New Roman"/>
        </w:rPr>
        <w:t xml:space="preserve">= </w:t>
      </w:r>
      <w:r w:rsidR="00907881">
        <w:rPr>
          <w:rFonts w:cs="Times New Roman"/>
        </w:rPr>
        <w:t>mean</w:t>
      </w:r>
      <w:r w:rsidR="00795BD5">
        <w:rPr>
          <w:rFonts w:cs="Times New Roman"/>
        </w:rPr>
        <w:t xml:space="preserve"> </w:t>
      </w:r>
      <w:r w:rsidR="005B331A" w:rsidRPr="005C3CE4">
        <w:rPr>
          <w:rFonts w:cs="Times New Roman"/>
        </w:rPr>
        <w:t xml:space="preserve">mental fatigue; </w:t>
      </w:r>
      <w:r w:rsidR="005B331A" w:rsidRPr="005C3CE4">
        <w:rPr>
          <w:rFonts w:cs="Times New Roman"/>
          <w:lang w:val="el-GR"/>
        </w:rPr>
        <w:t>β</w:t>
      </w:r>
      <w:proofErr w:type="spellStart"/>
      <w:r w:rsidR="005B331A" w:rsidRPr="005C3CE4">
        <w:rPr>
          <w:rFonts w:cs="Times New Roman"/>
          <w:vertAlign w:val="subscript"/>
        </w:rPr>
        <w:t>em</w:t>
      </w:r>
      <w:proofErr w:type="spellEnd"/>
      <w:r w:rsidR="005B331A" w:rsidRPr="005C3CE4">
        <w:rPr>
          <w:rFonts w:cs="Times New Roman"/>
        </w:rPr>
        <w:t xml:space="preserve"> = cross-lagged effect of </w:t>
      </w:r>
      <w:proofErr w:type="spellStart"/>
      <w:r w:rsidR="002C6ECF">
        <w:rPr>
          <w:rFonts w:cs="Times New Roman"/>
        </w:rPr>
        <w:t>esport</w:t>
      </w:r>
      <w:proofErr w:type="spellEnd"/>
      <w:r w:rsidR="002C6ECF">
        <w:rPr>
          <w:rFonts w:cs="Times New Roman"/>
        </w:rPr>
        <w:t xml:space="preserve"> participation</w:t>
      </w:r>
      <w:r w:rsidR="005B331A" w:rsidRPr="005C3CE4">
        <w:rPr>
          <w:rFonts w:cs="Times New Roman"/>
        </w:rPr>
        <w:t xml:space="preserve"> on mental fatigue; </w:t>
      </w:r>
      <w:r w:rsidR="005B331A" w:rsidRPr="005C3CE4">
        <w:rPr>
          <w:rFonts w:cs="Times New Roman"/>
          <w:lang w:val="el-GR"/>
        </w:rPr>
        <w:t>Φ</w:t>
      </w:r>
      <w:r w:rsidR="005B331A" w:rsidRPr="005C3CE4">
        <w:rPr>
          <w:rFonts w:cs="Times New Roman"/>
          <w:vertAlign w:val="subscript"/>
        </w:rPr>
        <w:t xml:space="preserve">mm </w:t>
      </w:r>
      <w:r w:rsidR="005B331A" w:rsidRPr="005C3CE4">
        <w:rPr>
          <w:rFonts w:cs="Times New Roman"/>
        </w:rPr>
        <w:t xml:space="preserve">= inertia of mental fatigue; </w:t>
      </w:r>
      <w:r w:rsidR="005B331A" w:rsidRPr="005C3CE4">
        <w:rPr>
          <w:rFonts w:cs="Times New Roman"/>
          <w:lang w:val="el-GR"/>
        </w:rPr>
        <w:t>β</w:t>
      </w:r>
      <w:r w:rsidR="005B331A" w:rsidRPr="005C3CE4">
        <w:rPr>
          <w:rFonts w:cs="Times New Roman"/>
          <w:vertAlign w:val="subscript"/>
        </w:rPr>
        <w:t xml:space="preserve">me </w:t>
      </w:r>
      <w:r w:rsidR="005B331A" w:rsidRPr="005C3CE4">
        <w:rPr>
          <w:rFonts w:cs="Times New Roman"/>
        </w:rPr>
        <w:t xml:space="preserve"> = cross-lagged effect of mental fatigue on </w:t>
      </w:r>
      <w:proofErr w:type="spellStart"/>
      <w:r w:rsidR="004F7D85">
        <w:rPr>
          <w:rFonts w:cs="Times New Roman"/>
        </w:rPr>
        <w:t>esport</w:t>
      </w:r>
      <w:proofErr w:type="spellEnd"/>
      <w:r w:rsidR="004F7D85">
        <w:rPr>
          <w:rFonts w:cs="Times New Roman"/>
        </w:rPr>
        <w:t xml:space="preserve"> participation</w:t>
      </w:r>
      <w:r w:rsidR="005B331A" w:rsidRPr="005C3CE4">
        <w:rPr>
          <w:rFonts w:cs="Times New Roman"/>
        </w:rPr>
        <w:t xml:space="preserve">; </w:t>
      </w:r>
      <w:r w:rsidR="005B331A" w:rsidRPr="005C3CE4">
        <w:rPr>
          <w:rFonts w:cs="Times New Roman"/>
          <w:lang w:val="el-GR"/>
        </w:rPr>
        <w:t>Φ</w:t>
      </w:r>
      <w:proofErr w:type="spellStart"/>
      <w:r w:rsidR="005B331A" w:rsidRPr="005C3CE4">
        <w:rPr>
          <w:rFonts w:cs="Times New Roman"/>
          <w:vertAlign w:val="subscript"/>
        </w:rPr>
        <w:t>ee</w:t>
      </w:r>
      <w:proofErr w:type="spellEnd"/>
      <w:r w:rsidR="005B331A" w:rsidRPr="005C3CE4">
        <w:rPr>
          <w:rFonts w:cs="Times New Roman"/>
          <w:vertAlign w:val="subscript"/>
        </w:rPr>
        <w:t xml:space="preserve"> </w:t>
      </w:r>
      <w:r w:rsidR="005B331A" w:rsidRPr="005C3CE4">
        <w:rPr>
          <w:rFonts w:cs="Times New Roman"/>
        </w:rPr>
        <w:t xml:space="preserve"> = inertia of </w:t>
      </w:r>
      <w:proofErr w:type="spellStart"/>
      <w:r w:rsidR="007E1C47">
        <w:rPr>
          <w:rFonts w:cs="Times New Roman"/>
        </w:rPr>
        <w:t>esport</w:t>
      </w:r>
      <w:proofErr w:type="spellEnd"/>
      <w:r w:rsidR="007E1C47">
        <w:rPr>
          <w:rFonts w:cs="Times New Roman"/>
        </w:rPr>
        <w:t xml:space="preserve"> participation</w:t>
      </w:r>
      <w:r w:rsidR="005B331A" w:rsidRPr="005C3CE4">
        <w:rPr>
          <w:rFonts w:cs="Times New Roman"/>
        </w:rPr>
        <w:t xml:space="preserve">. </w:t>
      </w:r>
      <w:r w:rsidR="00F55AC5" w:rsidRPr="005C3CE4">
        <w:t>PSD = posterior standard deviation; CI = credible interval</w:t>
      </w:r>
      <w:r w:rsidR="008106BD" w:rsidRPr="005C3CE4">
        <w:t xml:space="preserve">. </w:t>
      </w:r>
    </w:p>
    <w:p w14:paraId="631A20FB" w14:textId="77777777" w:rsidR="007C7128" w:rsidRPr="005C3CE4" w:rsidRDefault="00CC0969">
      <w:pPr>
        <w:pStyle w:val="Heading1"/>
      </w:pPr>
      <w:bookmarkStart w:id="11" w:name="discussion"/>
      <w:bookmarkEnd w:id="7"/>
      <w:bookmarkEnd w:id="10"/>
      <w:r w:rsidRPr="005C3CE4">
        <w:t>Discussion</w:t>
      </w:r>
    </w:p>
    <w:p w14:paraId="7C703B49" w14:textId="10D53A93" w:rsidR="007C7128" w:rsidRPr="005C3CE4" w:rsidRDefault="00CC0969">
      <w:pPr>
        <w:pStyle w:val="FirstParagraph"/>
      </w:pPr>
      <w:r w:rsidRPr="005C3CE4">
        <w:t xml:space="preserve">The purpose of this study was to investigate the reciprocal relationship between </w:t>
      </w:r>
      <w:r w:rsidR="001A7E57" w:rsidRPr="005C3CE4">
        <w:t>EP</w:t>
      </w:r>
      <w:r w:rsidRPr="005C3CE4">
        <w:t xml:space="preserve"> and MF. The results showed that increased amount of </w:t>
      </w:r>
      <w:r w:rsidR="001A7E57" w:rsidRPr="005C3CE4">
        <w:t>EP</w:t>
      </w:r>
      <w:r w:rsidRPr="005C3CE4">
        <w:t xml:space="preserve"> resulted in a greater level of MF for the majority of students (80.95%) immediately after gameplay. Increased MF resulted in a lower amount of </w:t>
      </w:r>
      <w:r w:rsidR="001A7E57" w:rsidRPr="005C3CE4">
        <w:t>EP</w:t>
      </w:r>
      <w:r w:rsidRPr="005C3CE4">
        <w:t xml:space="preserve"> for around a quarter of participants (25.4%) after 12 hours of gameplay. A small </w:t>
      </w:r>
      <w:r w:rsidR="00796697" w:rsidRPr="005C3CE4">
        <w:lastRenderedPageBreak/>
        <w:t>number</w:t>
      </w:r>
      <w:r w:rsidRPr="005C3CE4">
        <w:t xml:space="preserve"> of students (6.35%) experienced </w:t>
      </w:r>
      <w:r w:rsidR="00FE2B11">
        <w:t>inertia</w:t>
      </w:r>
      <w:r w:rsidRPr="005C3CE4">
        <w:t xml:space="preserve"> of MF </w:t>
      </w:r>
      <w:r w:rsidR="002B75C1">
        <w:t xml:space="preserve">(i.e. carry-over effects) </w:t>
      </w:r>
      <w:r w:rsidRPr="005C3CE4">
        <w:t xml:space="preserve">after 12 hours of gameplay. </w:t>
      </w:r>
      <w:r w:rsidR="000E68F0" w:rsidRPr="005C3CE4">
        <w:t xml:space="preserve">Greater </w:t>
      </w:r>
      <w:r w:rsidR="00907881">
        <w:t>mean</w:t>
      </w:r>
      <w:r w:rsidRPr="005C3CE4">
        <w:t xml:space="preserve"> </w:t>
      </w:r>
      <w:r w:rsidR="001A7E57" w:rsidRPr="005C3CE4">
        <w:t>EP</w:t>
      </w:r>
      <w:r w:rsidRPr="005C3CE4">
        <w:t xml:space="preserve"> was linked with </w:t>
      </w:r>
      <w:r w:rsidR="00970A3F">
        <w:t>increased</w:t>
      </w:r>
      <w:r w:rsidR="000E68F0" w:rsidRPr="005C3CE4">
        <w:t xml:space="preserve"> </w:t>
      </w:r>
      <w:r w:rsidR="00907881">
        <w:t>mean</w:t>
      </w:r>
      <w:r w:rsidRPr="005C3CE4">
        <w:t xml:space="preserve"> MF, increased MF inertia, and a stronger negative influence of MF on later </w:t>
      </w:r>
      <w:r w:rsidR="001A7E57" w:rsidRPr="005C3CE4">
        <w:t>EP</w:t>
      </w:r>
      <w:r w:rsidRPr="005C3CE4">
        <w:t xml:space="preserve">. Increased MF inertia was related with a stronger negative effect of MF on later </w:t>
      </w:r>
      <w:r w:rsidR="001A7E57" w:rsidRPr="005C3CE4">
        <w:t>EP</w:t>
      </w:r>
      <w:r w:rsidRPr="005C3CE4">
        <w:t xml:space="preserve"> and a decreased </w:t>
      </w:r>
      <w:r w:rsidR="001A7E57" w:rsidRPr="005C3CE4">
        <w:t>EP</w:t>
      </w:r>
      <w:r w:rsidRPr="005C3CE4">
        <w:t xml:space="preserve"> inertia.</w:t>
      </w:r>
    </w:p>
    <w:p w14:paraId="789F5441" w14:textId="77777777" w:rsidR="007C7128" w:rsidRPr="005C3CE4" w:rsidRDefault="00CC0969">
      <w:pPr>
        <w:pStyle w:val="Heading2"/>
      </w:pPr>
      <w:bookmarkStart w:id="12" w:name="inertia"/>
      <w:r w:rsidRPr="005C3CE4">
        <w:t>Inertia</w:t>
      </w:r>
    </w:p>
    <w:p w14:paraId="137041D2" w14:textId="4CE93E8B" w:rsidR="007C7128" w:rsidRPr="005C3CE4" w:rsidRDefault="00CC0969">
      <w:pPr>
        <w:pStyle w:val="FirstParagraph"/>
      </w:pPr>
      <w:r w:rsidRPr="005C3CE4">
        <w:t xml:space="preserve">The </w:t>
      </w:r>
      <w:r w:rsidR="001C73A5">
        <w:t xml:space="preserve">standardized </w:t>
      </w:r>
      <w:r w:rsidR="00B455AA" w:rsidRPr="005C3CE4">
        <w:t>autoregressive</w:t>
      </w:r>
      <w:r w:rsidRPr="005C3CE4">
        <w:t xml:space="preserve"> coefficient of MF indicated a relatively low inertia from one assessment to the next</w:t>
      </w:r>
      <w:r w:rsidR="007467D7">
        <w:t xml:space="preserve">, indicating </w:t>
      </w:r>
      <w:r w:rsidRPr="005C3CE4">
        <w:t xml:space="preserve">that if students experience an increase or reduction in MF relative to their baseline level at one point in time, there is a good chance that this change will be partially </w:t>
      </w:r>
      <w:r w:rsidR="00AA39C8" w:rsidRPr="005C3CE4">
        <w:t>carried over</w:t>
      </w:r>
      <w:r w:rsidRPr="005C3CE4">
        <w:t xml:space="preserve"> 12 hours later. However, the lower boundary of the </w:t>
      </w:r>
      <w:r w:rsidR="006641CC" w:rsidRPr="005C3CE4">
        <w:t xml:space="preserve">95%CI </w:t>
      </w:r>
      <w:r w:rsidRPr="005C3CE4">
        <w:t xml:space="preserve">for this effect was </w:t>
      </w:r>
      <w:r w:rsidR="00E932A0">
        <w:t>close to</w:t>
      </w:r>
      <w:r w:rsidR="00766E02">
        <w:t xml:space="preserve"> </w:t>
      </w:r>
      <w:r w:rsidRPr="005C3CE4">
        <w:t xml:space="preserve">zero and this relationship was only applicable to 6.35% of the participants. This implies that the majority of participants may return to their normal level of MF within 12 hours of </w:t>
      </w:r>
      <w:r w:rsidR="000A382F">
        <w:t>playing</w:t>
      </w:r>
      <w:r w:rsidRPr="005C3CE4">
        <w:t xml:space="preserve"> </w:t>
      </w:r>
      <w:proofErr w:type="spellStart"/>
      <w:r w:rsidRPr="005C3CE4">
        <w:t>esport</w:t>
      </w:r>
      <w:proofErr w:type="spellEnd"/>
      <w:r w:rsidRPr="005C3CE4">
        <w:t xml:space="preserve">. This finding </w:t>
      </w:r>
      <w:r w:rsidR="00B61750">
        <w:t xml:space="preserve">aligns with the work of </w:t>
      </w:r>
      <w:proofErr w:type="spellStart"/>
      <w:r w:rsidR="00B61750" w:rsidRPr="00B61750">
        <w:t>Jacquet</w:t>
      </w:r>
      <w:proofErr w:type="spellEnd"/>
      <w:r w:rsidR="00B61750" w:rsidRPr="00B61750">
        <w:t xml:space="preserve"> et al. </w:t>
      </w:r>
      <w:r w:rsidR="00B61750">
        <w:t>(</w:t>
      </w:r>
      <w:r w:rsidR="00B61750" w:rsidRPr="00B61750">
        <w:t>2021</w:t>
      </w:r>
      <w:r w:rsidR="00B61750">
        <w:t>)</w:t>
      </w:r>
      <w:r w:rsidR="00C84382">
        <w:t xml:space="preserve">, in that </w:t>
      </w:r>
      <w:r w:rsidR="004A59F9">
        <w:t xml:space="preserve">the </w:t>
      </w:r>
      <w:r w:rsidRPr="005C3CE4">
        <w:t xml:space="preserve">MF level </w:t>
      </w:r>
      <w:r w:rsidR="00155679" w:rsidRPr="005C3CE4">
        <w:t>gradually decreased for</w:t>
      </w:r>
      <w:r w:rsidRPr="005C3CE4">
        <w:t xml:space="preserve"> 20 minutes after a cognitively demanding activit</w:t>
      </w:r>
      <w:r w:rsidR="00B85B36">
        <w:t>y</w:t>
      </w:r>
      <w:r w:rsidR="00155679" w:rsidRPr="005C3CE4">
        <w:t xml:space="preserve">, although notably </w:t>
      </w:r>
      <w:r w:rsidR="00B85B36">
        <w:t xml:space="preserve">it </w:t>
      </w:r>
      <w:r w:rsidR="00155679" w:rsidRPr="005C3CE4">
        <w:t>did not return to pre-task levels</w:t>
      </w:r>
      <w:r w:rsidR="003F07CD">
        <w:t xml:space="preserve">. </w:t>
      </w:r>
      <w:r w:rsidRPr="005C3CE4">
        <w:t xml:space="preserve">The </w:t>
      </w:r>
      <w:r w:rsidR="00B455AA" w:rsidRPr="005C3CE4">
        <w:t>autoregressive</w:t>
      </w:r>
      <w:r w:rsidRPr="005C3CE4">
        <w:t xml:space="preserve"> coefficient for </w:t>
      </w:r>
      <w:r w:rsidR="001A7E57" w:rsidRPr="005C3CE4">
        <w:t>EP</w:t>
      </w:r>
      <w:r w:rsidRPr="005C3CE4">
        <w:t xml:space="preserve"> was insignificant, showing that participants tended to spend </w:t>
      </w:r>
      <w:r w:rsidR="00315FC7">
        <w:t xml:space="preserve">an </w:t>
      </w:r>
      <w:r w:rsidRPr="005C3CE4">
        <w:t>arbitrary</w:t>
      </w:r>
      <w:r w:rsidR="00BF7F90">
        <w:t xml:space="preserve"> </w:t>
      </w:r>
      <w:r w:rsidRPr="005C3CE4">
        <w:t xml:space="preserve">rather than a certain amount of time on playing </w:t>
      </w:r>
      <w:proofErr w:type="spellStart"/>
      <w:r w:rsidRPr="005C3CE4">
        <w:t>esport</w:t>
      </w:r>
      <w:proofErr w:type="spellEnd"/>
      <w:r w:rsidRPr="005C3CE4">
        <w:t xml:space="preserve"> </w:t>
      </w:r>
      <w:r w:rsidR="0091485E">
        <w:t>on a daily basis</w:t>
      </w:r>
      <w:r w:rsidRPr="005C3CE4">
        <w:t>.</w:t>
      </w:r>
    </w:p>
    <w:p w14:paraId="5499C0AC" w14:textId="0DEA8047" w:rsidR="007C7128" w:rsidRPr="005C3CE4" w:rsidRDefault="00CC0969">
      <w:pPr>
        <w:pStyle w:val="Heading2"/>
      </w:pPr>
      <w:bookmarkStart w:id="13" w:name="cross-legged-effects"/>
      <w:bookmarkEnd w:id="12"/>
      <w:r w:rsidRPr="005C3CE4">
        <w:t>Cross-l</w:t>
      </w:r>
      <w:r w:rsidR="00DB070E">
        <w:t>a</w:t>
      </w:r>
      <w:r w:rsidRPr="005C3CE4">
        <w:t>gged effects</w:t>
      </w:r>
    </w:p>
    <w:p w14:paraId="298166D8" w14:textId="61FC3A81" w:rsidR="007C7128" w:rsidRPr="005C3CE4" w:rsidRDefault="00CC0969">
      <w:pPr>
        <w:pStyle w:val="FirstParagraph"/>
      </w:pPr>
      <w:r w:rsidRPr="005C3CE4">
        <w:t xml:space="preserve">The study was particularly interested in the two cross-lagged effects of </w:t>
      </w:r>
      <w:r w:rsidR="001A7E57" w:rsidRPr="005C3CE4">
        <w:t>EP</w:t>
      </w:r>
      <w:r w:rsidRPr="005C3CE4">
        <w:t xml:space="preserve"> and MF. Consistent with prior research (Fortes et al., 2020), the current study </w:t>
      </w:r>
      <w:r w:rsidR="00A1230D">
        <w:t>revealed</w:t>
      </w:r>
      <w:r w:rsidRPr="005C3CE4">
        <w:t xml:space="preserve"> that increased </w:t>
      </w:r>
      <w:r w:rsidR="001A7E57" w:rsidRPr="005C3CE4">
        <w:t>EP</w:t>
      </w:r>
      <w:r w:rsidRPr="005C3CE4">
        <w:t xml:space="preserve"> resulted in an increased level of post-game MF for the majority of students. In comparison to earlier research, this study established more robust evidence for this effect by exhibiting four merits: (1) recall bias was minimized by measuring </w:t>
      </w:r>
      <w:r w:rsidR="0003499E" w:rsidRPr="005C3CE4">
        <w:t>EP</w:t>
      </w:r>
      <w:r w:rsidRPr="005C3CE4">
        <w:t xml:space="preserve"> and MF immediately following gameplay; (2) the time interval between gameplay and MF assessment was controlled; (3) the evidence of causal effect of </w:t>
      </w:r>
      <w:r w:rsidR="001A7E57" w:rsidRPr="005C3CE4">
        <w:t>EP</w:t>
      </w:r>
      <w:r w:rsidRPr="005C3CE4">
        <w:t xml:space="preserve"> on MF is stronger as the latter was measured after the former (though not true </w:t>
      </w:r>
      <w:r w:rsidRPr="005C3CE4">
        <w:lastRenderedPageBreak/>
        <w:t xml:space="preserve">causality). (4) </w:t>
      </w:r>
      <w:r w:rsidR="00B5197B">
        <w:t>t</w:t>
      </w:r>
      <w:r w:rsidRPr="005C3CE4">
        <w:t xml:space="preserve">he confounding effect of different genres of video games was eliminated since participants only engaged in esports. </w:t>
      </w:r>
      <w:r w:rsidR="00D607B8" w:rsidRPr="005C3CE4">
        <w:t xml:space="preserve">Consistent with </w:t>
      </w:r>
      <w:r w:rsidRPr="005C3CE4">
        <w:t>the definition of MF (</w:t>
      </w:r>
      <w:proofErr w:type="spellStart"/>
      <w:r w:rsidRPr="005C3CE4">
        <w:t>Marcora</w:t>
      </w:r>
      <w:proofErr w:type="spellEnd"/>
      <w:r w:rsidRPr="005C3CE4">
        <w:t xml:space="preserve"> et al., 2009), </w:t>
      </w:r>
      <w:r w:rsidR="00D607B8" w:rsidRPr="005C3CE4">
        <w:t>these findings suggest</w:t>
      </w:r>
      <w:r w:rsidRPr="005C3CE4">
        <w:t xml:space="preserve"> that </w:t>
      </w:r>
      <w:r w:rsidR="001A7E57" w:rsidRPr="005C3CE4">
        <w:t>EP</w:t>
      </w:r>
      <w:r w:rsidRPr="005C3CE4">
        <w:t xml:space="preserve"> should be regarded as a highly cognitively demanding activity that can lead to increased level of MF. </w:t>
      </w:r>
      <w:r w:rsidR="004527FC" w:rsidRPr="005C3CE4">
        <w:t>Nonetheless</w:t>
      </w:r>
      <w:r w:rsidR="00D607B8" w:rsidRPr="005C3CE4">
        <w:t xml:space="preserve">, </w:t>
      </w:r>
      <w:r w:rsidRPr="005C3CE4">
        <w:t xml:space="preserve">this association does not hold true for </w:t>
      </w:r>
      <w:r w:rsidR="004B5F4A">
        <w:t>approximately</w:t>
      </w:r>
      <w:r w:rsidR="004B5F4A" w:rsidRPr="005C3CE4">
        <w:t xml:space="preserve"> </w:t>
      </w:r>
      <w:r w:rsidRPr="005C3CE4">
        <w:t>19% of students</w:t>
      </w:r>
      <w:r w:rsidR="00FA0F67">
        <w:t>, as w</w:t>
      </w:r>
      <w:r w:rsidRPr="005C3CE4">
        <w:t xml:space="preserve">hen the duration of their </w:t>
      </w:r>
      <w:r w:rsidR="001A7E57" w:rsidRPr="005C3CE4">
        <w:t>EP</w:t>
      </w:r>
      <w:r w:rsidRPr="005C3CE4">
        <w:t xml:space="preserve"> varied</w:t>
      </w:r>
      <w:r w:rsidR="004B5F4A">
        <w:t>,</w:t>
      </w:r>
      <w:r w:rsidR="00F475D2">
        <w:t xml:space="preserve"> there was not</w:t>
      </w:r>
      <w:r w:rsidR="00AC6395">
        <w:t xml:space="preserve"> a</w:t>
      </w:r>
      <w:r w:rsidRPr="005C3CE4">
        <w:t xml:space="preserve"> significant variation in their MF level. </w:t>
      </w:r>
      <w:r w:rsidR="004B5F4A">
        <w:t>Two</w:t>
      </w:r>
      <w:r w:rsidR="004B5F4A" w:rsidRPr="005C3CE4">
        <w:t xml:space="preserve"> </w:t>
      </w:r>
      <w:r w:rsidRPr="005C3CE4">
        <w:t>possible explanation</w:t>
      </w:r>
      <w:r w:rsidR="00741B52">
        <w:t>s</w:t>
      </w:r>
      <w:r w:rsidRPr="005C3CE4">
        <w:t xml:space="preserve"> for this finding </w:t>
      </w:r>
      <w:r w:rsidR="004B5F4A">
        <w:t xml:space="preserve">are: </w:t>
      </w:r>
      <w:r w:rsidRPr="005C3CE4">
        <w:t xml:space="preserve">(1) those students were not as cognitively engaged in </w:t>
      </w:r>
      <w:proofErr w:type="spellStart"/>
      <w:r w:rsidRPr="005C3CE4">
        <w:t>esport</w:t>
      </w:r>
      <w:proofErr w:type="spellEnd"/>
      <w:r w:rsidRPr="005C3CE4">
        <w:t xml:space="preserve"> as others</w:t>
      </w:r>
      <w:r w:rsidR="004B5F4A">
        <w:t xml:space="preserve"> and </w:t>
      </w:r>
      <w:r w:rsidRPr="005C3CE4">
        <w:t xml:space="preserve">(2) </w:t>
      </w:r>
      <w:r w:rsidR="005D0D8B" w:rsidRPr="005C3CE4">
        <w:t>c</w:t>
      </w:r>
      <w:r w:rsidRPr="005C3CE4">
        <w:t xml:space="preserve">ertain varieties of </w:t>
      </w:r>
      <w:proofErr w:type="spellStart"/>
      <w:r w:rsidRPr="005C3CE4">
        <w:t>esport</w:t>
      </w:r>
      <w:proofErr w:type="spellEnd"/>
      <w:r w:rsidRPr="005C3CE4">
        <w:t xml:space="preserve"> may not </w:t>
      </w:r>
      <w:r w:rsidR="005D4087">
        <w:t>require</w:t>
      </w:r>
      <w:r w:rsidRPr="005C3CE4">
        <w:t xml:space="preserve"> as much cognitive engagement as others.</w:t>
      </w:r>
    </w:p>
    <w:p w14:paraId="64533692" w14:textId="245D4832" w:rsidR="007C7128" w:rsidRPr="005C3CE4" w:rsidRDefault="00CC0969">
      <w:pPr>
        <w:pStyle w:val="BodyText"/>
      </w:pPr>
      <w:r w:rsidRPr="005C3CE4">
        <w:t xml:space="preserve">To our knowledge, this is the first study to investigate the possible causal influence of MF on </w:t>
      </w:r>
      <w:r w:rsidR="001A7E57" w:rsidRPr="005C3CE4">
        <w:t>EP</w:t>
      </w:r>
      <w:r w:rsidRPr="005C3CE4">
        <w:t xml:space="preserve">. For around a quarter of the participants, a higher degree of MF predicted a lower level of </w:t>
      </w:r>
      <w:r w:rsidR="001A7E57" w:rsidRPr="005C3CE4">
        <w:t>EP</w:t>
      </w:r>
      <w:r w:rsidRPr="005C3CE4">
        <w:t xml:space="preserve"> 12 hours later. Due to low carryover effect of MF, a drop in </w:t>
      </w:r>
      <w:r w:rsidR="001A7E57" w:rsidRPr="005C3CE4">
        <w:t>EP</w:t>
      </w:r>
      <w:r w:rsidRPr="005C3CE4">
        <w:t xml:space="preserve"> as a direct result of past MF is unlikely. Rather, this link may indicate that students prefer to play less </w:t>
      </w:r>
      <w:proofErr w:type="spellStart"/>
      <w:r w:rsidRPr="005C3CE4">
        <w:t>esport</w:t>
      </w:r>
      <w:proofErr w:type="spellEnd"/>
      <w:r w:rsidRPr="005C3CE4">
        <w:t xml:space="preserve"> the next time to avoid experiencing the feeling of MF immediately after </w:t>
      </w:r>
      <w:r w:rsidR="001E346A" w:rsidRPr="005C3CE4">
        <w:t>gameplay</w:t>
      </w:r>
      <w:r w:rsidRPr="005C3CE4">
        <w:t xml:space="preserve">. Additionally, the negative repercussions (e.g., reduced well-being and lower academic performance) caused by high degree of MF may motivate students to adapt their </w:t>
      </w:r>
      <w:proofErr w:type="spellStart"/>
      <w:r w:rsidRPr="005C3CE4">
        <w:t>esport</w:t>
      </w:r>
      <w:proofErr w:type="spellEnd"/>
      <w:r w:rsidRPr="005C3CE4">
        <w:t xml:space="preserve"> time in the future</w:t>
      </w:r>
      <w:r w:rsidR="004B5F4A">
        <w:t xml:space="preserve"> </w:t>
      </w:r>
      <w:r w:rsidR="004B5F4A" w:rsidRPr="005C3CE4">
        <w:t>(Smith, 2018)</w:t>
      </w:r>
      <w:r w:rsidRPr="005C3CE4">
        <w:t>.</w:t>
      </w:r>
      <w:r w:rsidR="00BD248C">
        <w:t xml:space="preserve"> </w:t>
      </w:r>
      <w:r w:rsidR="005D4087">
        <w:t xml:space="preserve">Approximately </w:t>
      </w:r>
      <w:r w:rsidR="00E31488">
        <w:t>7</w:t>
      </w:r>
      <w:r w:rsidRPr="005C3CE4">
        <w:t xml:space="preserve">5% of participants continued to participate in </w:t>
      </w:r>
      <w:proofErr w:type="spellStart"/>
      <w:r w:rsidRPr="005C3CE4">
        <w:t>esport</w:t>
      </w:r>
      <w:proofErr w:type="spellEnd"/>
      <w:r w:rsidRPr="005C3CE4">
        <w:t xml:space="preserve"> for a significant amount of time 12 hours after experiencing increased MF. This shows that a 12-hour time period may be adequate for those students to recover their typical level of MF, allowing them to participate in </w:t>
      </w:r>
      <w:proofErr w:type="spellStart"/>
      <w:r w:rsidRPr="005C3CE4">
        <w:t>esport</w:t>
      </w:r>
      <w:proofErr w:type="spellEnd"/>
      <w:r w:rsidRPr="005C3CE4">
        <w:t xml:space="preserve"> without being affected by past MF. However, this finding also suggests that the m</w:t>
      </w:r>
      <w:r w:rsidR="002A5B6E">
        <w:t xml:space="preserve">ajority </w:t>
      </w:r>
      <w:r w:rsidRPr="005C3CE4">
        <w:t xml:space="preserve">of students continue to play </w:t>
      </w:r>
      <w:proofErr w:type="spellStart"/>
      <w:r w:rsidRPr="005C3CE4">
        <w:t>esport</w:t>
      </w:r>
      <w:proofErr w:type="spellEnd"/>
      <w:r w:rsidRPr="005C3CE4">
        <w:t xml:space="preserve"> for an extended period of time despite the mentally exhausted feeling that occurs </w:t>
      </w:r>
      <w:r w:rsidR="002B75C1">
        <w:t xml:space="preserve">when </w:t>
      </w:r>
      <w:r w:rsidRPr="005C3CE4">
        <w:t xml:space="preserve">they play high amount of </w:t>
      </w:r>
      <w:proofErr w:type="spellStart"/>
      <w:r w:rsidRPr="005C3CE4">
        <w:t>esport</w:t>
      </w:r>
      <w:proofErr w:type="spellEnd"/>
      <w:r w:rsidRPr="005C3CE4">
        <w:t>.</w:t>
      </w:r>
    </w:p>
    <w:p w14:paraId="67617187" w14:textId="785172D3" w:rsidR="007C7128" w:rsidRPr="005C3CE4" w:rsidRDefault="00CC0969">
      <w:pPr>
        <w:pStyle w:val="BodyText"/>
      </w:pPr>
      <w:r w:rsidRPr="005C3CE4">
        <w:t xml:space="preserve">Due to the fact that both </w:t>
      </w:r>
      <w:r w:rsidR="001A7E57" w:rsidRPr="005C3CE4">
        <w:t>EP</w:t>
      </w:r>
      <w:r w:rsidRPr="005C3CE4">
        <w:t xml:space="preserve"> and MF can be used to </w:t>
      </w:r>
      <w:r w:rsidR="00DD0A6F" w:rsidRPr="005C3CE4">
        <w:t>forecast</w:t>
      </w:r>
      <w:r w:rsidRPr="005C3CE4">
        <w:t xml:space="preserve"> one another in the future, a reciprocal relationship was established. </w:t>
      </w:r>
      <w:r w:rsidR="002C2600" w:rsidRPr="005C3CE4">
        <w:t xml:space="preserve">This predictive effect </w:t>
      </w:r>
      <w:r w:rsidR="002B75C1">
        <w:t>is</w:t>
      </w:r>
      <w:r w:rsidR="002B75C1" w:rsidRPr="005C3CE4">
        <w:t xml:space="preserve"> </w:t>
      </w:r>
      <w:r w:rsidR="00FC6F65" w:rsidRPr="005C3CE4">
        <w:t xml:space="preserve">termed </w:t>
      </w:r>
      <w:r w:rsidR="00F32714" w:rsidRPr="005C3CE4">
        <w:t>Granger causality</w:t>
      </w:r>
      <w:r w:rsidR="00C31652">
        <w:t xml:space="preserve">, </w:t>
      </w:r>
      <w:r w:rsidR="004B5F4A">
        <w:t xml:space="preserve">where </w:t>
      </w:r>
      <w:r w:rsidR="00DA32C1" w:rsidRPr="005C3CE4">
        <w:t>s</w:t>
      </w:r>
      <w:r w:rsidR="005F1FAD" w:rsidRPr="005C3CE4">
        <w:t xml:space="preserve">ystems in which the variable </w:t>
      </w:r>
      <w:r w:rsidR="004B5F4A">
        <w:t>“</w:t>
      </w:r>
      <w:r w:rsidR="005F1FAD" w:rsidRPr="005C3CE4">
        <w:t>x</w:t>
      </w:r>
      <w:r w:rsidR="004B5F4A">
        <w:t>”</w:t>
      </w:r>
      <w:r w:rsidR="005F1FAD" w:rsidRPr="005C3CE4">
        <w:t xml:space="preserve"> forecasts the future values of the variable </w:t>
      </w:r>
      <w:r w:rsidR="004B5F4A">
        <w:t>“</w:t>
      </w:r>
      <w:r w:rsidR="005F1FAD" w:rsidRPr="005C3CE4">
        <w:t>y</w:t>
      </w:r>
      <w:r w:rsidR="004B5F4A">
        <w:t xml:space="preserve">” </w:t>
      </w:r>
      <w:r w:rsidR="00A844E9" w:rsidRPr="005C3CE4">
        <w:t xml:space="preserve">in time series </w:t>
      </w:r>
      <w:r w:rsidR="000411CD" w:rsidRPr="005C3CE4">
        <w:lastRenderedPageBreak/>
        <w:t>analysis</w:t>
      </w:r>
      <w:r w:rsidR="00173190" w:rsidRPr="005C3CE4">
        <w:t xml:space="preserve"> </w:t>
      </w:r>
      <w:r w:rsidR="00B315B9" w:rsidRPr="005C3CE4">
        <w:t xml:space="preserve">and </w:t>
      </w:r>
      <w:r w:rsidR="00C31652">
        <w:t>serves as</w:t>
      </w:r>
      <w:r w:rsidR="00C31652" w:rsidRPr="005C3CE4">
        <w:t xml:space="preserve"> </w:t>
      </w:r>
      <w:r w:rsidR="00D64388" w:rsidRPr="005C3CE4">
        <w:t xml:space="preserve">the </w:t>
      </w:r>
      <w:r w:rsidR="000C6156" w:rsidRPr="005C3CE4">
        <w:t xml:space="preserve">closest </w:t>
      </w:r>
      <w:r w:rsidR="00F248A4" w:rsidRPr="005C3CE4">
        <w:t xml:space="preserve">evidence </w:t>
      </w:r>
      <w:r w:rsidR="0042051C" w:rsidRPr="005C3CE4">
        <w:t xml:space="preserve">of </w:t>
      </w:r>
      <w:r w:rsidR="009671B9" w:rsidRPr="005C3CE4">
        <w:t>the</w:t>
      </w:r>
      <w:r w:rsidR="00F248A4" w:rsidRPr="005C3CE4">
        <w:t xml:space="preserve"> causal relationship </w:t>
      </w:r>
      <w:r w:rsidR="000C6156" w:rsidRPr="005C3CE4">
        <w:t>in a</w:t>
      </w:r>
      <w:r w:rsidR="00096572" w:rsidRPr="005C3CE4">
        <w:t>n observational study</w:t>
      </w:r>
      <w:r w:rsidR="004B5F4A">
        <w:t xml:space="preserve"> (</w:t>
      </w:r>
      <w:r w:rsidR="004B5F4A" w:rsidRPr="005C3CE4">
        <w:t>Granger, 1969)</w:t>
      </w:r>
      <w:r w:rsidR="00D628F3" w:rsidRPr="005C3CE4">
        <w:t xml:space="preserve">. </w:t>
      </w:r>
      <w:r w:rsidRPr="005C3CE4">
        <w:t xml:space="preserve">Although approximately 81% of students reported feeling more fatigued after participating in more </w:t>
      </w:r>
      <w:proofErr w:type="spellStart"/>
      <w:r w:rsidRPr="005C3CE4">
        <w:t>esport</w:t>
      </w:r>
      <w:proofErr w:type="spellEnd"/>
      <w:r w:rsidRPr="005C3CE4">
        <w:t xml:space="preserve">, only approximately 25% of participants indicated that they would reduce their </w:t>
      </w:r>
      <w:r w:rsidR="001A7E57" w:rsidRPr="005C3CE4">
        <w:t>EP</w:t>
      </w:r>
      <w:r w:rsidRPr="005C3CE4">
        <w:t xml:space="preserve"> the next time</w:t>
      </w:r>
      <w:r w:rsidR="001B0EB3">
        <w:t>. This reveals that</w:t>
      </w:r>
      <w:r w:rsidRPr="005C3CE4">
        <w:t xml:space="preserve"> that </w:t>
      </w:r>
      <w:r w:rsidR="001A7E57" w:rsidRPr="005C3CE4">
        <w:t>EP</w:t>
      </w:r>
      <w:r w:rsidRPr="005C3CE4">
        <w:t xml:space="preserve"> is a somewhat compelling activity for the majority of students, as the presence of an unpleasant psychological outcome (MF) immediately following playing does not incentivize them to reduce their participation</w:t>
      </w:r>
      <w:r w:rsidR="00D45D87">
        <w:t xml:space="preserve"> duration</w:t>
      </w:r>
      <w:r w:rsidRPr="005C3CE4">
        <w:t xml:space="preserve"> the next time.</w:t>
      </w:r>
    </w:p>
    <w:p w14:paraId="204D36DD" w14:textId="0456F8EA" w:rsidR="007C7128" w:rsidRPr="005C3CE4" w:rsidRDefault="00886141">
      <w:pPr>
        <w:pStyle w:val="Heading2"/>
      </w:pPr>
      <w:bookmarkStart w:id="14" w:name="association-between-random-effects"/>
      <w:bookmarkEnd w:id="13"/>
      <w:r w:rsidRPr="005C3CE4">
        <w:t xml:space="preserve">Relationship </w:t>
      </w:r>
      <w:r w:rsidR="00CC0969" w:rsidRPr="005C3CE4">
        <w:t>between random effects</w:t>
      </w:r>
    </w:p>
    <w:p w14:paraId="4D3E8890" w14:textId="32F52D10" w:rsidR="007C7128" w:rsidRPr="005C3CE4" w:rsidRDefault="00CC0969">
      <w:pPr>
        <w:pStyle w:val="FirstParagraph"/>
      </w:pPr>
      <w:r w:rsidRPr="005C3CE4">
        <w:t xml:space="preserve">The results indicated that the </w:t>
      </w:r>
      <w:r w:rsidR="00907881">
        <w:t>mean</w:t>
      </w:r>
      <w:r w:rsidR="00261429">
        <w:t xml:space="preserve"> EP was </w:t>
      </w:r>
      <w:r w:rsidRPr="005C3CE4">
        <w:t xml:space="preserve">positively linked with </w:t>
      </w:r>
      <w:r w:rsidR="00907881">
        <w:t>mean</w:t>
      </w:r>
      <w:r w:rsidR="00261429">
        <w:t xml:space="preserve"> </w:t>
      </w:r>
      <w:r w:rsidRPr="005C3CE4">
        <w:t xml:space="preserve">MF. This finding implies that playing more </w:t>
      </w:r>
      <w:proofErr w:type="spellStart"/>
      <w:r w:rsidRPr="005C3CE4">
        <w:t>esport</w:t>
      </w:r>
      <w:proofErr w:type="spellEnd"/>
      <w:r w:rsidRPr="005C3CE4">
        <w:t xml:space="preserve"> is associated with a higher level of MF in general, regardless of time. </w:t>
      </w:r>
      <w:r w:rsidR="00151D57">
        <w:t>Mean</w:t>
      </w:r>
      <w:r w:rsidRPr="005C3CE4">
        <w:t xml:space="preserve"> </w:t>
      </w:r>
      <w:r w:rsidR="001A7E57" w:rsidRPr="005C3CE4">
        <w:t>EP</w:t>
      </w:r>
      <w:r w:rsidRPr="005C3CE4">
        <w:t xml:space="preserve"> is also positively linked with the inertia of MF, which may imply that students who play a lot of </w:t>
      </w:r>
      <w:proofErr w:type="spellStart"/>
      <w:r w:rsidRPr="005C3CE4">
        <w:t>esport</w:t>
      </w:r>
      <w:proofErr w:type="spellEnd"/>
      <w:r w:rsidRPr="005C3CE4">
        <w:t xml:space="preserve"> in general are more likely to be trapped in a state of high MF. Given the effect of </w:t>
      </w:r>
      <w:r w:rsidR="00907881">
        <w:t>mean</w:t>
      </w:r>
      <w:r w:rsidR="00DE06D2">
        <w:t xml:space="preserve"> </w:t>
      </w:r>
      <w:r w:rsidR="001A7E57" w:rsidRPr="005C3CE4">
        <w:t>EP</w:t>
      </w:r>
      <w:r w:rsidRPr="005C3CE4">
        <w:t xml:space="preserve"> on both the </w:t>
      </w:r>
      <w:r w:rsidR="00907881">
        <w:t>mean</w:t>
      </w:r>
      <w:r w:rsidR="00FF6355" w:rsidRPr="005C3CE4">
        <w:t xml:space="preserve"> </w:t>
      </w:r>
      <w:r w:rsidRPr="005C3CE4">
        <w:t xml:space="preserve">and inertia of MF, intervention programs and policies should be implemented to prevent students from participating in excessive </w:t>
      </w:r>
      <w:proofErr w:type="spellStart"/>
      <w:r w:rsidRPr="005C3CE4">
        <w:t>esport</w:t>
      </w:r>
      <w:proofErr w:type="spellEnd"/>
      <w:r w:rsidRPr="005C3CE4">
        <w:t xml:space="preserve"> on a routine basis. Additionally, students with high </w:t>
      </w:r>
      <w:r w:rsidR="00907881">
        <w:t>mean</w:t>
      </w:r>
      <w:r w:rsidR="00D607B8" w:rsidRPr="005C3CE4">
        <w:t xml:space="preserve"> </w:t>
      </w:r>
      <w:r w:rsidR="001A7E57" w:rsidRPr="005C3CE4">
        <w:t>EP</w:t>
      </w:r>
      <w:r w:rsidRPr="005C3CE4">
        <w:t xml:space="preserve"> spent less time in </w:t>
      </w:r>
      <w:proofErr w:type="spellStart"/>
      <w:r w:rsidRPr="005C3CE4">
        <w:t>esport</w:t>
      </w:r>
      <w:proofErr w:type="spellEnd"/>
      <w:r w:rsidRPr="005C3CE4">
        <w:t xml:space="preserve"> following MF than students with low </w:t>
      </w:r>
      <w:r w:rsidR="00907881">
        <w:t>mean</w:t>
      </w:r>
      <w:r w:rsidR="00490A37" w:rsidRPr="005C3CE4">
        <w:t xml:space="preserve"> </w:t>
      </w:r>
      <w:r w:rsidR="001A7E57" w:rsidRPr="005C3CE4">
        <w:t>EP</w:t>
      </w:r>
      <w:r w:rsidRPr="005C3CE4">
        <w:t xml:space="preserve">. A possible explanation for this finding is that students who spend more time </w:t>
      </w:r>
      <w:r w:rsidR="00C33124">
        <w:t>playing</w:t>
      </w:r>
      <w:r w:rsidRPr="005C3CE4">
        <w:t xml:space="preserve"> </w:t>
      </w:r>
      <w:proofErr w:type="spellStart"/>
      <w:r w:rsidRPr="005C3CE4">
        <w:t>esport</w:t>
      </w:r>
      <w:proofErr w:type="spellEnd"/>
      <w:r w:rsidRPr="005C3CE4">
        <w:t xml:space="preserve"> in general have a greater MF inertia. This prolonged uncomfortable feeling of MF </w:t>
      </w:r>
      <w:r w:rsidR="00D607B8" w:rsidRPr="005C3CE4">
        <w:t xml:space="preserve">perhaps </w:t>
      </w:r>
      <w:r w:rsidRPr="005C3CE4">
        <w:t xml:space="preserve">aids them in reducing </w:t>
      </w:r>
      <w:proofErr w:type="spellStart"/>
      <w:r w:rsidRPr="005C3CE4">
        <w:t>esport</w:t>
      </w:r>
      <w:proofErr w:type="spellEnd"/>
      <w:r w:rsidRPr="005C3CE4">
        <w:t xml:space="preserve"> time next time.</w:t>
      </w:r>
    </w:p>
    <w:p w14:paraId="7309D2B4" w14:textId="3E5A75CE" w:rsidR="007C7128" w:rsidRPr="005C3CE4" w:rsidRDefault="00CC0969">
      <w:pPr>
        <w:pStyle w:val="BodyText"/>
      </w:pPr>
      <w:r w:rsidRPr="005C3CE4">
        <w:t xml:space="preserve">The inertia of MF moderates the negative effect of MF on </w:t>
      </w:r>
      <w:r w:rsidR="001A7E57" w:rsidRPr="005C3CE4">
        <w:t>EP</w:t>
      </w:r>
      <w:r w:rsidR="007318DE" w:rsidRPr="005C3CE4">
        <w:t xml:space="preserve">, indicating </w:t>
      </w:r>
      <w:r w:rsidRPr="005C3CE4">
        <w:t xml:space="preserve">that students who are more likely to </w:t>
      </w:r>
      <w:r w:rsidR="00D607B8" w:rsidRPr="005C3CE4">
        <w:t>remain</w:t>
      </w:r>
      <w:r w:rsidRPr="005C3CE4">
        <w:t xml:space="preserve"> in a high MF state will</w:t>
      </w:r>
      <w:r w:rsidR="006B4B4B">
        <w:t xml:space="preserve"> also</w:t>
      </w:r>
      <w:r w:rsidRPr="005C3CE4">
        <w:t xml:space="preserve"> be more likely to spend less time in </w:t>
      </w:r>
      <w:proofErr w:type="spellStart"/>
      <w:r w:rsidRPr="005C3CE4">
        <w:t>esport</w:t>
      </w:r>
      <w:proofErr w:type="spellEnd"/>
      <w:r w:rsidRPr="005C3CE4">
        <w:t xml:space="preserve"> after experiencing MF </w:t>
      </w:r>
      <w:r w:rsidR="00D32FB4">
        <w:t xml:space="preserve">when compared to individuals </w:t>
      </w:r>
      <w:r w:rsidRPr="005C3CE4">
        <w:t xml:space="preserve">who are less likely to </w:t>
      </w:r>
      <w:r w:rsidR="00653413">
        <w:t>remain</w:t>
      </w:r>
      <w:r w:rsidR="004B4835">
        <w:t xml:space="preserve"> </w:t>
      </w:r>
      <w:r w:rsidRPr="005C3CE4">
        <w:t xml:space="preserve">in a high MF state. This finding demonstrates </w:t>
      </w:r>
      <w:r w:rsidR="00E37BB6">
        <w:t>that</w:t>
      </w:r>
      <w:r w:rsidRPr="005C3CE4">
        <w:t xml:space="preserve"> highly involved </w:t>
      </w:r>
      <w:proofErr w:type="spellStart"/>
      <w:r w:rsidRPr="005C3CE4">
        <w:t>esport</w:t>
      </w:r>
      <w:proofErr w:type="spellEnd"/>
      <w:r w:rsidRPr="005C3CE4">
        <w:t xml:space="preserve"> gamers </w:t>
      </w:r>
      <w:r w:rsidR="007318DE" w:rsidRPr="005C3CE4">
        <w:t xml:space="preserve">might adapt their playing time to </w:t>
      </w:r>
      <w:r w:rsidRPr="005C3CE4">
        <w:t>maintain their MF level within a certain range. In other words, although students who spend more time participat</w:t>
      </w:r>
      <w:r w:rsidR="007318DE" w:rsidRPr="005C3CE4">
        <w:t>ing</w:t>
      </w:r>
      <w:r w:rsidRPr="005C3CE4">
        <w:t xml:space="preserve"> in </w:t>
      </w:r>
      <w:proofErr w:type="spellStart"/>
      <w:r w:rsidRPr="005C3CE4">
        <w:t>esport</w:t>
      </w:r>
      <w:proofErr w:type="spellEnd"/>
      <w:r w:rsidRPr="005C3CE4">
        <w:t xml:space="preserve"> are more likely to have high MF inertia in general, they are also more likely to bring down their </w:t>
      </w:r>
      <w:proofErr w:type="spellStart"/>
      <w:r w:rsidRPr="005C3CE4">
        <w:t>esport</w:t>
      </w:r>
      <w:proofErr w:type="spellEnd"/>
      <w:r w:rsidRPr="005C3CE4">
        <w:t xml:space="preserve"> time than those who have low MF inertia, which </w:t>
      </w:r>
      <w:r w:rsidRPr="005C3CE4">
        <w:lastRenderedPageBreak/>
        <w:t xml:space="preserve">helps them </w:t>
      </w:r>
      <w:r w:rsidR="007318DE" w:rsidRPr="005C3CE4">
        <w:t xml:space="preserve">experience </w:t>
      </w:r>
      <w:r w:rsidRPr="005C3CE4">
        <w:t xml:space="preserve">less MF next time they play </w:t>
      </w:r>
      <w:proofErr w:type="spellStart"/>
      <w:r w:rsidRPr="005C3CE4">
        <w:t>esport</w:t>
      </w:r>
      <w:proofErr w:type="spellEnd"/>
      <w:r w:rsidRPr="005C3CE4">
        <w:t xml:space="preserve">. The inertia of MF was found to be negatively associated with the inertia of </w:t>
      </w:r>
      <w:r w:rsidR="001A7E57" w:rsidRPr="005C3CE4">
        <w:t>EP</w:t>
      </w:r>
      <w:r w:rsidR="00CD434D" w:rsidRPr="005C3CE4">
        <w:t xml:space="preserve">, </w:t>
      </w:r>
      <w:r w:rsidR="009D6D80">
        <w:t xml:space="preserve">revealing </w:t>
      </w:r>
      <w:r w:rsidR="00CD434D" w:rsidRPr="005C3CE4">
        <w:t xml:space="preserve">that </w:t>
      </w:r>
      <w:r w:rsidR="00642E2B" w:rsidRPr="005C3CE4">
        <w:t xml:space="preserve">when </w:t>
      </w:r>
      <w:r w:rsidR="00261229">
        <w:t>the</w:t>
      </w:r>
      <w:r w:rsidR="00951A59" w:rsidRPr="005C3CE4">
        <w:t xml:space="preserve"> </w:t>
      </w:r>
      <w:r w:rsidR="00366454" w:rsidRPr="005C3CE4">
        <w:t>EP time becomes more stable (consistently high or low)</w:t>
      </w:r>
      <w:r w:rsidR="005F3BC6" w:rsidRPr="005C3CE4">
        <w:t xml:space="preserve">, their MF </w:t>
      </w:r>
      <w:r w:rsidR="003D3408" w:rsidRPr="005C3CE4">
        <w:t>tends to</w:t>
      </w:r>
      <w:r w:rsidR="005F3BC6" w:rsidRPr="005C3CE4">
        <w:t xml:space="preserve"> </w:t>
      </w:r>
      <w:r w:rsidR="00497CFD">
        <w:t xml:space="preserve">move up and down </w:t>
      </w:r>
      <w:r w:rsidR="00B40DF8" w:rsidRPr="005C3CE4">
        <w:t>relative to</w:t>
      </w:r>
      <w:r w:rsidR="00F25C35">
        <w:t xml:space="preserve"> </w:t>
      </w:r>
      <w:r w:rsidR="00D92F4F">
        <w:t xml:space="preserve">their typical </w:t>
      </w:r>
      <w:r w:rsidR="00B40DF8" w:rsidRPr="005C3CE4">
        <w:t>MF</w:t>
      </w:r>
      <w:r w:rsidR="00D92F4F">
        <w:t xml:space="preserve"> level</w:t>
      </w:r>
      <w:r w:rsidR="00D23261" w:rsidRPr="005C3CE4">
        <w:t xml:space="preserve">. </w:t>
      </w:r>
      <w:r w:rsidRPr="005C3CE4">
        <w:t>This relationship is difficult to be explained by our knowledge.</w:t>
      </w:r>
    </w:p>
    <w:p w14:paraId="5AE52DCA" w14:textId="77777777" w:rsidR="007C7128" w:rsidRPr="005C3CE4" w:rsidRDefault="00CC0969" w:rsidP="00825224">
      <w:pPr>
        <w:pStyle w:val="Heading2"/>
      </w:pPr>
      <w:bookmarkStart w:id="15" w:name="limitations-and-future-directions"/>
      <w:bookmarkEnd w:id="11"/>
      <w:bookmarkEnd w:id="14"/>
      <w:r w:rsidRPr="005C3CE4">
        <w:t>Limitations and future directions</w:t>
      </w:r>
    </w:p>
    <w:p w14:paraId="32070D80" w14:textId="5B87B58E" w:rsidR="005C4931" w:rsidRPr="005C3CE4" w:rsidRDefault="00CC0969">
      <w:pPr>
        <w:pStyle w:val="FirstParagraph"/>
      </w:pPr>
      <w:r w:rsidRPr="005C3CE4">
        <w:t>The present study has several limitations. To begin, the event-</w:t>
      </w:r>
      <w:r w:rsidR="00B971D2" w:rsidRPr="005C3CE4">
        <w:t>contingent</w:t>
      </w:r>
      <w:r w:rsidRPr="005C3CE4">
        <w:t xml:space="preserve"> ambulatory assessment method </w:t>
      </w:r>
      <w:r w:rsidR="00103003">
        <w:t>required</w:t>
      </w:r>
      <w:r w:rsidRPr="005C3CE4">
        <w:t xml:space="preserve"> participants to freely report their </w:t>
      </w:r>
      <w:r w:rsidR="00857DCB">
        <w:t xml:space="preserve">EP </w:t>
      </w:r>
      <w:r w:rsidRPr="005C3CE4">
        <w:t xml:space="preserve">and </w:t>
      </w:r>
      <w:r w:rsidR="002607CD" w:rsidRPr="005C3CE4">
        <w:t>MF</w:t>
      </w:r>
      <w:r w:rsidRPr="005C3CE4">
        <w:t xml:space="preserve"> level following</w:t>
      </w:r>
      <w:r w:rsidR="00477F89">
        <w:t xml:space="preserve"> </w:t>
      </w:r>
      <w:r w:rsidR="0095255F">
        <w:t>gameplay</w:t>
      </w:r>
      <w:r w:rsidRPr="005C3CE4">
        <w:t xml:space="preserve">. It is </w:t>
      </w:r>
      <w:r w:rsidR="007318DE" w:rsidRPr="005C3CE4">
        <w:t xml:space="preserve">possible </w:t>
      </w:r>
      <w:r w:rsidRPr="005C3CE4">
        <w:t xml:space="preserve">that students forgot to or were unwilling to report if they were experiencing significant MF following </w:t>
      </w:r>
      <w:r w:rsidR="00F467E1">
        <w:t>gameplay</w:t>
      </w:r>
      <w:r w:rsidRPr="005C3CE4">
        <w:t xml:space="preserve">. Future research may circumvent this disadvantage by examining the game servers’ log files to confirm whether participants report their data after gameplay. </w:t>
      </w:r>
      <w:r w:rsidR="002A2BEF" w:rsidRPr="005C3CE4">
        <w:t>Second,</w:t>
      </w:r>
      <w:r w:rsidR="00BF1495" w:rsidRPr="005C3CE4">
        <w:t xml:space="preserve"> </w:t>
      </w:r>
      <w:r w:rsidR="00F245CC" w:rsidRPr="005C3CE4">
        <w:t xml:space="preserve">the present study </w:t>
      </w:r>
      <w:r w:rsidR="00EC4748" w:rsidRPr="005C3CE4">
        <w:t>examined</w:t>
      </w:r>
      <w:r w:rsidR="003E7E37" w:rsidRPr="005C3CE4">
        <w:t xml:space="preserve"> the effect of </w:t>
      </w:r>
      <w:r w:rsidR="00F0449A">
        <w:t>EP</w:t>
      </w:r>
      <w:r w:rsidR="00324498" w:rsidRPr="005C3CE4">
        <w:t xml:space="preserve"> </w:t>
      </w:r>
      <w:r w:rsidR="002E6CB4" w:rsidRPr="005C3CE4">
        <w:t xml:space="preserve">on MF </w:t>
      </w:r>
      <w:r w:rsidR="00205E69" w:rsidRPr="005C3CE4">
        <w:t>immediately after gamepl</w:t>
      </w:r>
      <w:r w:rsidR="007318DE" w:rsidRPr="005C3CE4">
        <w:t>a</w:t>
      </w:r>
      <w:r w:rsidR="00205E69" w:rsidRPr="005C3CE4">
        <w:t>y</w:t>
      </w:r>
      <w:r w:rsidR="003538E2">
        <w:t>. I</w:t>
      </w:r>
      <w:r w:rsidR="00F44356" w:rsidRPr="005C3CE4">
        <w:t xml:space="preserve">t is still </w:t>
      </w:r>
      <w:r w:rsidR="00950E5B" w:rsidRPr="005C3CE4">
        <w:t xml:space="preserve">unclear </w:t>
      </w:r>
      <w:r w:rsidR="001A00BD" w:rsidRPr="005C3CE4">
        <w:t xml:space="preserve">how long </w:t>
      </w:r>
      <w:r w:rsidR="00081339" w:rsidRPr="005C3CE4">
        <w:t xml:space="preserve">this effect </w:t>
      </w:r>
      <w:r w:rsidR="00404F9E">
        <w:t>lasts</w:t>
      </w:r>
      <w:r w:rsidR="003F3356" w:rsidRPr="005C3CE4">
        <w:t xml:space="preserve">. Future studies </w:t>
      </w:r>
      <w:r w:rsidR="00A35CA4">
        <w:t>should</w:t>
      </w:r>
      <w:r w:rsidR="003F3356" w:rsidRPr="005C3CE4">
        <w:t xml:space="preserve"> </w:t>
      </w:r>
      <w:r w:rsidR="002303AD" w:rsidRPr="005C3CE4">
        <w:t xml:space="preserve">examine </w:t>
      </w:r>
      <w:r w:rsidR="001D4BD4" w:rsidRPr="005C3CE4">
        <w:t xml:space="preserve">how </w:t>
      </w:r>
      <w:r w:rsidR="00754448" w:rsidRPr="005C3CE4">
        <w:t xml:space="preserve">this </w:t>
      </w:r>
      <w:r w:rsidR="001D4BD4" w:rsidRPr="005C3CE4">
        <w:t xml:space="preserve">effect </w:t>
      </w:r>
      <w:r w:rsidR="00D23369" w:rsidRPr="005C3CE4">
        <w:t>varies</w:t>
      </w:r>
      <w:r w:rsidR="001D4BD4" w:rsidRPr="005C3CE4">
        <w:t xml:space="preserve"> </w:t>
      </w:r>
      <w:r w:rsidR="007318DE" w:rsidRPr="005C3CE4">
        <w:t xml:space="preserve">based </w:t>
      </w:r>
      <w:r w:rsidR="00F27F04" w:rsidRPr="005C3CE4">
        <w:t>on</w:t>
      </w:r>
      <w:r w:rsidR="001D4BD4" w:rsidRPr="005C3CE4">
        <w:t xml:space="preserve"> </w:t>
      </w:r>
      <w:r w:rsidR="00B67F2B" w:rsidRPr="005C3CE4">
        <w:t xml:space="preserve">different </w:t>
      </w:r>
      <w:r w:rsidR="00573739" w:rsidRPr="005C3CE4">
        <w:t xml:space="preserve">time </w:t>
      </w:r>
      <w:r w:rsidR="001D4BD4" w:rsidRPr="005C3CE4">
        <w:t>lags</w:t>
      </w:r>
      <w:r w:rsidR="00144D2A" w:rsidRPr="005C3CE4">
        <w:t xml:space="preserve"> </w:t>
      </w:r>
      <w:r w:rsidR="00B57C3C" w:rsidRPr="005C3CE4">
        <w:t>after gameplay</w:t>
      </w:r>
      <w:r w:rsidR="00BD5DFE" w:rsidRPr="005C3CE4">
        <w:t xml:space="preserve"> to understand </w:t>
      </w:r>
      <w:r w:rsidR="008A50A6" w:rsidRPr="005C3CE4">
        <w:t xml:space="preserve">the </w:t>
      </w:r>
      <w:r w:rsidR="00813520" w:rsidRPr="005C3CE4">
        <w:t xml:space="preserve">constancy </w:t>
      </w:r>
      <w:r w:rsidR="00BE5991" w:rsidRPr="005C3CE4">
        <w:t xml:space="preserve">or fade-away </w:t>
      </w:r>
      <w:r w:rsidR="008A50A6" w:rsidRPr="005C3CE4">
        <w:t>of this effect.</w:t>
      </w:r>
      <w:r w:rsidR="001D4BD4" w:rsidRPr="005C3CE4">
        <w:t xml:space="preserve"> </w:t>
      </w:r>
      <w:r w:rsidR="000341C2" w:rsidRPr="005C3CE4">
        <w:t>Th</w:t>
      </w:r>
      <w:r w:rsidR="00A8338A" w:rsidRPr="005C3CE4">
        <w:t>ird</w:t>
      </w:r>
      <w:r w:rsidRPr="005C3CE4">
        <w:t xml:space="preserve">, </w:t>
      </w:r>
      <w:r w:rsidR="00777F08">
        <w:t xml:space="preserve">because most </w:t>
      </w:r>
      <w:r w:rsidRPr="005C3CE4">
        <w:t>students in this stud</w:t>
      </w:r>
      <w:r w:rsidR="00062DF7">
        <w:t>y played</w:t>
      </w:r>
      <w:r w:rsidRPr="005C3CE4">
        <w:t xml:space="preserve"> Honor of Kings and League of Legends, both of which are classified as MOBA games, the findings</w:t>
      </w:r>
      <w:r w:rsidR="008C00C0">
        <w:t xml:space="preserve"> of this study</w:t>
      </w:r>
      <w:r w:rsidRPr="005C3CE4">
        <w:t xml:space="preserve"> may be generalizable solely to this </w:t>
      </w:r>
      <w:r w:rsidR="007A15B5" w:rsidRPr="005C3CE4">
        <w:t xml:space="preserve">genre </w:t>
      </w:r>
      <w:r w:rsidRPr="005C3CE4">
        <w:t xml:space="preserve">of </w:t>
      </w:r>
      <w:proofErr w:type="spellStart"/>
      <w:r w:rsidRPr="005C3CE4">
        <w:t>esport</w:t>
      </w:r>
      <w:proofErr w:type="spellEnd"/>
      <w:r w:rsidRPr="005C3CE4">
        <w:t xml:space="preserve">. Future studies may recruit students who participate in a variety of esports, such as first-person shooters, real-time strategy, racing, and sports games. </w:t>
      </w:r>
      <w:r w:rsidR="0038700A">
        <w:t>Fourth, a</w:t>
      </w:r>
      <w:r w:rsidR="004F0120" w:rsidRPr="005C3CE4">
        <w:t xml:space="preserve">lthough this study established a </w:t>
      </w:r>
      <w:r w:rsidR="00310C67" w:rsidRPr="005C3CE4">
        <w:t xml:space="preserve">reciprocal </w:t>
      </w:r>
      <w:r w:rsidR="004F0120" w:rsidRPr="005C3CE4">
        <w:t xml:space="preserve">Granger-causal relationship between EP and MF, </w:t>
      </w:r>
      <w:r w:rsidR="00E54CA4" w:rsidRPr="005C3CE4">
        <w:t xml:space="preserve">more </w:t>
      </w:r>
      <w:r w:rsidR="004F0120" w:rsidRPr="005C3CE4">
        <w:t xml:space="preserve">experimental investigations should be undertaken in the future to </w:t>
      </w:r>
      <w:r w:rsidR="00E54CA4" w:rsidRPr="005C3CE4">
        <w:t xml:space="preserve">further our </w:t>
      </w:r>
      <w:r w:rsidR="004F0120" w:rsidRPr="005C3CE4">
        <w:t>understand</w:t>
      </w:r>
      <w:r w:rsidR="00E54CA4" w:rsidRPr="005C3CE4">
        <w:t>ing of this relationship</w:t>
      </w:r>
      <w:r w:rsidR="004F0120" w:rsidRPr="005C3CE4">
        <w:t>.</w:t>
      </w:r>
      <w:r w:rsidR="00F014CE" w:rsidRPr="005C3CE4">
        <w:t xml:space="preserve"> </w:t>
      </w:r>
    </w:p>
    <w:p w14:paraId="251A7587" w14:textId="219F3961" w:rsidR="007C7128" w:rsidRPr="005C3CE4" w:rsidRDefault="00CC0969">
      <w:pPr>
        <w:pStyle w:val="FirstParagraph"/>
      </w:pPr>
      <w:r w:rsidRPr="005C3CE4">
        <w:t xml:space="preserve">As </w:t>
      </w:r>
      <w:proofErr w:type="spellStart"/>
      <w:r w:rsidRPr="005C3CE4">
        <w:t>esport</w:t>
      </w:r>
      <w:proofErr w:type="spellEnd"/>
      <w:r w:rsidRPr="005C3CE4">
        <w:t xml:space="preserve"> has </w:t>
      </w:r>
      <w:r w:rsidR="00401685" w:rsidRPr="005C3CE4">
        <w:t xml:space="preserve">rapidly </w:t>
      </w:r>
      <w:r w:rsidR="00BA2D0F" w:rsidRPr="005C3CE4">
        <w:t>emerged</w:t>
      </w:r>
      <w:r w:rsidRPr="005C3CE4">
        <w:t xml:space="preserve"> </w:t>
      </w:r>
      <w:r w:rsidR="00CD2261" w:rsidRPr="005C3CE4">
        <w:t xml:space="preserve">as </w:t>
      </w:r>
      <w:r w:rsidRPr="005C3CE4">
        <w:t xml:space="preserve">a global phenomenon, further </w:t>
      </w:r>
      <w:r w:rsidR="003A388B" w:rsidRPr="005C3CE4">
        <w:t xml:space="preserve">research </w:t>
      </w:r>
      <w:r w:rsidRPr="005C3CE4">
        <w:t>on</w:t>
      </w:r>
      <w:r w:rsidR="00817097" w:rsidRPr="005C3CE4">
        <w:t xml:space="preserve"> the association between </w:t>
      </w:r>
      <w:r w:rsidR="001A7E57" w:rsidRPr="005C3CE4">
        <w:t>EP</w:t>
      </w:r>
      <w:r w:rsidRPr="005C3CE4">
        <w:t xml:space="preserve"> </w:t>
      </w:r>
      <w:r w:rsidR="00CC0E41">
        <w:t xml:space="preserve">and MF </w:t>
      </w:r>
      <w:r w:rsidRPr="005C3CE4">
        <w:t xml:space="preserve">is urgently </w:t>
      </w:r>
      <w:r w:rsidR="00F23E84" w:rsidRPr="005C3CE4">
        <w:t>needed</w:t>
      </w:r>
      <w:r w:rsidRPr="005C3CE4">
        <w:t>.</w:t>
      </w:r>
      <w:r w:rsidR="004527FC" w:rsidRPr="005C3CE4">
        <w:rPr>
          <w:rFonts w:ascii="Open Sans" w:hAnsi="Open Sans"/>
          <w:color w:val="333333"/>
          <w:sz w:val="23"/>
          <w:szCs w:val="23"/>
          <w:shd w:val="clear" w:color="auto" w:fill="FFFFFF"/>
        </w:rPr>
        <w:t xml:space="preserve"> </w:t>
      </w:r>
      <w:r w:rsidR="006D333B" w:rsidRPr="005C3CE4">
        <w:t>Persistent</w:t>
      </w:r>
      <w:r w:rsidR="004527FC" w:rsidRPr="005C3CE4">
        <w:t xml:space="preserve"> MF </w:t>
      </w:r>
      <w:r w:rsidR="00FA5526" w:rsidRPr="005C3CE4">
        <w:t>can</w:t>
      </w:r>
      <w:r w:rsidR="004527FC" w:rsidRPr="005C3CE4">
        <w:t xml:space="preserve"> lead to burnout </w:t>
      </w:r>
      <w:r w:rsidR="009A5CE4" w:rsidRPr="005C3CE4">
        <w:t>(Demerouti et al., 2001)</w:t>
      </w:r>
      <w:r w:rsidR="004527FC" w:rsidRPr="005C3CE4">
        <w:t xml:space="preserve">, </w:t>
      </w:r>
      <w:r w:rsidR="00783184" w:rsidRPr="005C3CE4">
        <w:t>decreased motivation (</w:t>
      </w:r>
      <w:proofErr w:type="spellStart"/>
      <w:r w:rsidR="00783184" w:rsidRPr="005C3CE4">
        <w:t>Boksem</w:t>
      </w:r>
      <w:proofErr w:type="spellEnd"/>
      <w:r w:rsidR="00783184" w:rsidRPr="005C3CE4">
        <w:t xml:space="preserve"> et al., 2006), </w:t>
      </w:r>
      <w:r w:rsidR="00E609FD" w:rsidRPr="005C3CE4">
        <w:t>decreased likelihood of choosing to exercise</w:t>
      </w:r>
      <w:r w:rsidR="00D82022" w:rsidRPr="005C3CE4">
        <w:t xml:space="preserve"> (Harris &amp; Bray, 2019), </w:t>
      </w:r>
      <w:r w:rsidR="00783184" w:rsidRPr="005C3CE4">
        <w:t>and increased distractibility (</w:t>
      </w:r>
      <w:proofErr w:type="spellStart"/>
      <w:r w:rsidR="00783184" w:rsidRPr="005C3CE4">
        <w:t>Boksem</w:t>
      </w:r>
      <w:proofErr w:type="spellEnd"/>
      <w:r w:rsidR="00783184" w:rsidRPr="005C3CE4">
        <w:t xml:space="preserve"> et al., 2005)</w:t>
      </w:r>
      <w:r w:rsidR="006D333B" w:rsidRPr="005C3CE4">
        <w:t>.</w:t>
      </w:r>
      <w:r w:rsidR="00783184" w:rsidRPr="005C3CE4">
        <w:t xml:space="preserve"> Among</w:t>
      </w:r>
      <w:r w:rsidR="004527FC" w:rsidRPr="005C3CE4">
        <w:t xml:space="preserve"> college </w:t>
      </w:r>
      <w:r w:rsidR="004527FC" w:rsidRPr="005C3CE4">
        <w:lastRenderedPageBreak/>
        <w:t>students</w:t>
      </w:r>
      <w:r w:rsidR="006D333B" w:rsidRPr="005C3CE4">
        <w:t xml:space="preserve"> in particular</w:t>
      </w:r>
      <w:r w:rsidR="004527FC" w:rsidRPr="005C3CE4">
        <w:t>, increased MF is associated with reduced well-being and decreased academic performance (Smith et al., 2018)</w:t>
      </w:r>
      <w:r w:rsidR="00A410F3" w:rsidRPr="005C3CE4">
        <w:t>.</w:t>
      </w:r>
      <w:r w:rsidR="006D333B" w:rsidRPr="005C3CE4">
        <w:t xml:space="preserve"> There are also physical health concerns associated with MF and </w:t>
      </w:r>
      <w:r w:rsidR="001A7E57" w:rsidRPr="005C3CE4">
        <w:t>EP</w:t>
      </w:r>
      <w:r w:rsidR="006D333B" w:rsidRPr="005C3CE4">
        <w:t xml:space="preserve"> that warrant further exploration</w:t>
      </w:r>
      <w:r w:rsidR="00FA5526" w:rsidRPr="005C3CE4">
        <w:t xml:space="preserve"> (Nicholson et al., 2020). </w:t>
      </w:r>
      <w:r w:rsidR="0069633F">
        <w:t>I</w:t>
      </w:r>
      <w:r w:rsidR="0019608F" w:rsidRPr="005C3CE4">
        <w:t>t has been</w:t>
      </w:r>
      <w:r w:rsidR="00127769" w:rsidRPr="005C3CE4">
        <w:t xml:space="preserve"> shown that interrupting prolonged </w:t>
      </w:r>
      <w:r w:rsidR="001A7E57" w:rsidRPr="005C3CE4">
        <w:t>EP</w:t>
      </w:r>
      <w:r w:rsidR="00127769" w:rsidRPr="005C3CE4">
        <w:t xml:space="preserve"> with a short bout of exercise helped reduce MF (Harris &amp; Bray, 2019)</w:t>
      </w:r>
      <w:r w:rsidR="0019608F" w:rsidRPr="005C3CE4">
        <w:t>.</w:t>
      </w:r>
      <w:r w:rsidR="00127769" w:rsidRPr="005C3CE4">
        <w:t xml:space="preserve"> </w:t>
      </w:r>
      <w:r w:rsidR="0019608F" w:rsidRPr="005C3CE4">
        <w:t>F</w:t>
      </w:r>
      <w:r w:rsidR="00127769" w:rsidRPr="005C3CE4">
        <w:t xml:space="preserve">uture research should </w:t>
      </w:r>
      <w:r w:rsidR="00D73E7C" w:rsidRPr="005C3CE4">
        <w:t xml:space="preserve">explore </w:t>
      </w:r>
      <w:r w:rsidR="00127769" w:rsidRPr="005C3CE4">
        <w:t xml:space="preserve">ways to alleviate </w:t>
      </w:r>
      <w:proofErr w:type="spellStart"/>
      <w:r w:rsidR="00127769" w:rsidRPr="005C3CE4">
        <w:t>esport</w:t>
      </w:r>
      <w:proofErr w:type="spellEnd"/>
      <w:r w:rsidR="00127769" w:rsidRPr="005C3CE4">
        <w:t>-related MF utilizing various kinds of exercise.</w:t>
      </w:r>
      <w:r w:rsidR="00790079" w:rsidRPr="005C3CE4">
        <w:t xml:space="preserve"> </w:t>
      </w:r>
    </w:p>
    <w:p w14:paraId="031B790A" w14:textId="3B9CE14C" w:rsidR="007C7128" w:rsidRPr="00825224" w:rsidRDefault="00CC0969" w:rsidP="00825224">
      <w:pPr>
        <w:pStyle w:val="Heading1"/>
      </w:pPr>
      <w:bookmarkStart w:id="16" w:name="conclusion"/>
      <w:bookmarkEnd w:id="15"/>
      <w:r w:rsidRPr="00825224">
        <w:t>Conclusion</w:t>
      </w:r>
      <w:r w:rsidR="00EC270C" w:rsidRPr="00825224">
        <w:t>s</w:t>
      </w:r>
    </w:p>
    <w:p w14:paraId="2A254B33" w14:textId="76CF7F89" w:rsidR="00533CC4" w:rsidRPr="005C3CE4" w:rsidRDefault="00F70813" w:rsidP="00533CC4">
      <w:pPr>
        <w:pStyle w:val="BodyText"/>
      </w:pPr>
      <w:r w:rsidRPr="008256E3">
        <w:t>Our findings suggest that higher EP not only results in an increase in MF immediately following gameplay, but also that a sustained high level of EP is connected with a persistent high level of MF and a prolonged feeling of MF.</w:t>
      </w:r>
      <w:r w:rsidRPr="00F70813">
        <w:t xml:space="preserve"> Given the negative associations between MF, wellbeing, and academic performance (Smith 2018), health promotion </w:t>
      </w:r>
      <w:r w:rsidR="00C8331A">
        <w:t>professionals</w:t>
      </w:r>
      <w:r w:rsidR="00C8331A" w:rsidRPr="00F70813">
        <w:t xml:space="preserve"> </w:t>
      </w:r>
      <w:r w:rsidRPr="00F70813">
        <w:t xml:space="preserve">and policymakers should explore implementing measures to promote healthier </w:t>
      </w:r>
      <w:proofErr w:type="spellStart"/>
      <w:r w:rsidRPr="00F70813">
        <w:t>esport</w:t>
      </w:r>
      <w:proofErr w:type="spellEnd"/>
      <w:r w:rsidRPr="00F70813">
        <w:t xml:space="preserve"> behaviors among college students.</w:t>
      </w:r>
    </w:p>
    <w:p w14:paraId="677F3D5B" w14:textId="77777777" w:rsidR="002D1D2C" w:rsidRPr="00034E19" w:rsidRDefault="002D1D2C" w:rsidP="004D087E">
      <w:pPr>
        <w:pStyle w:val="Heading1"/>
        <w:jc w:val="left"/>
        <w:rPr>
          <w:rFonts w:cs="Arial"/>
          <w:szCs w:val="24"/>
        </w:rPr>
      </w:pPr>
      <w:r w:rsidRPr="001A12A2">
        <w:t>Acknowledgments</w:t>
      </w:r>
    </w:p>
    <w:p w14:paraId="1761C4D9" w14:textId="1CD58728" w:rsidR="002D1D2C" w:rsidRDefault="002D1D2C" w:rsidP="002D1D2C">
      <w:pPr>
        <w:pStyle w:val="FirstParagraph"/>
        <w:ind w:firstLine="720"/>
        <w:rPr>
          <w:rFonts w:cs="Arial"/>
          <w:color w:val="000000" w:themeColor="text1"/>
        </w:rPr>
      </w:pPr>
      <w:r w:rsidRPr="00034E19">
        <w:rPr>
          <w:rFonts w:cs="Arial"/>
          <w:color w:val="000000" w:themeColor="text1"/>
        </w:rPr>
        <w:t>None.</w:t>
      </w:r>
    </w:p>
    <w:p w14:paraId="46AEBA9C" w14:textId="33D6AF41" w:rsidR="00B852DD" w:rsidRPr="001A12A2" w:rsidRDefault="001A12A2" w:rsidP="001A12A2">
      <w:pPr>
        <w:spacing w:before="0" w:after="0"/>
        <w:rPr>
          <w:b/>
          <w:bCs/>
        </w:rPr>
      </w:pPr>
      <w:r w:rsidRPr="001A12A2">
        <w:rPr>
          <w:b/>
          <w:bCs/>
        </w:rPr>
        <w:t>F</w:t>
      </w:r>
      <w:r w:rsidR="00B852DD" w:rsidRPr="00B852DD">
        <w:rPr>
          <w:b/>
          <w:bCs/>
        </w:rPr>
        <w:t>unding sources</w:t>
      </w:r>
    </w:p>
    <w:p w14:paraId="06857DE0" w14:textId="77777777" w:rsidR="00B852DD" w:rsidRPr="00B852DD" w:rsidRDefault="00B852DD" w:rsidP="001A12A2">
      <w:pPr>
        <w:spacing w:before="0" w:after="0"/>
        <w:ind w:firstLine="720"/>
      </w:pPr>
      <w:r w:rsidRPr="00B852DD">
        <w:t>This research did not receive any specific grant from funding agencies in the public, commercial, or not-for-profit sectors.</w:t>
      </w:r>
    </w:p>
    <w:p w14:paraId="110FCF03" w14:textId="26856C26" w:rsidR="00533CC4" w:rsidRPr="005C3CE4" w:rsidRDefault="00533CC4" w:rsidP="002D1D2C">
      <w:pPr>
        <w:pStyle w:val="BodyText"/>
        <w:ind w:firstLine="0"/>
      </w:pPr>
    </w:p>
    <w:p w14:paraId="570C6C86" w14:textId="3473F2F0" w:rsidR="00943B8B" w:rsidRDefault="00943B8B" w:rsidP="00760F3C">
      <w:pPr>
        <w:pStyle w:val="BodyText"/>
        <w:ind w:firstLine="0"/>
      </w:pPr>
    </w:p>
    <w:p w14:paraId="5F3BA78B" w14:textId="0E976ED8" w:rsidR="0071763C" w:rsidRDefault="0071763C" w:rsidP="00760F3C">
      <w:pPr>
        <w:pStyle w:val="BodyText"/>
        <w:ind w:firstLine="0"/>
      </w:pPr>
    </w:p>
    <w:p w14:paraId="628404CC" w14:textId="7DB8E604" w:rsidR="0071763C" w:rsidRDefault="0071763C" w:rsidP="00760F3C">
      <w:pPr>
        <w:pStyle w:val="BodyText"/>
        <w:ind w:firstLine="0"/>
      </w:pPr>
    </w:p>
    <w:p w14:paraId="395D1479" w14:textId="42E74AE3" w:rsidR="0071763C" w:rsidRDefault="0071763C" w:rsidP="00760F3C">
      <w:pPr>
        <w:pStyle w:val="BodyText"/>
        <w:ind w:firstLine="0"/>
      </w:pPr>
    </w:p>
    <w:p w14:paraId="349672CB" w14:textId="77777777" w:rsidR="0071763C" w:rsidRPr="005C3CE4" w:rsidRDefault="0071763C" w:rsidP="00760F3C">
      <w:pPr>
        <w:pStyle w:val="BodyText"/>
        <w:ind w:firstLine="0"/>
      </w:pPr>
    </w:p>
    <w:p w14:paraId="0D6B5BDC" w14:textId="4006A60D" w:rsidR="00FC3FCD" w:rsidRPr="00091F46" w:rsidRDefault="00FC3FCD" w:rsidP="007722A7">
      <w:pPr>
        <w:pStyle w:val="BodyText"/>
        <w:ind w:firstLine="0"/>
        <w:rPr>
          <w:b/>
          <w:bCs/>
        </w:rPr>
      </w:pPr>
      <w:r w:rsidRPr="00091F46">
        <w:rPr>
          <w:b/>
          <w:bCs/>
        </w:rPr>
        <w:lastRenderedPageBreak/>
        <w:t>References</w:t>
      </w:r>
    </w:p>
    <w:p w14:paraId="51595BAB" w14:textId="36780DF3" w:rsidR="007C7128" w:rsidRPr="005C3CE4" w:rsidRDefault="00CC0969">
      <w:pPr>
        <w:pStyle w:val="Bibliography"/>
      </w:pPr>
      <w:bookmarkStart w:id="17" w:name="ref-Aliyari20"/>
      <w:bookmarkStart w:id="18" w:name="including-plots"/>
      <w:bookmarkStart w:id="19" w:name="refs"/>
      <w:proofErr w:type="spellStart"/>
      <w:r w:rsidRPr="005C3CE4">
        <w:t>Aliyari</w:t>
      </w:r>
      <w:proofErr w:type="spellEnd"/>
      <w:r w:rsidRPr="005C3CE4">
        <w:t xml:space="preserve">, H., </w:t>
      </w:r>
      <w:proofErr w:type="spellStart"/>
      <w:r w:rsidRPr="005C3CE4">
        <w:t>Sahraei</w:t>
      </w:r>
      <w:proofErr w:type="spellEnd"/>
      <w:r w:rsidRPr="005C3CE4">
        <w:t xml:space="preserve">, H., </w:t>
      </w:r>
      <w:proofErr w:type="spellStart"/>
      <w:r w:rsidRPr="005C3CE4">
        <w:t>Erfani</w:t>
      </w:r>
      <w:proofErr w:type="spellEnd"/>
      <w:r w:rsidRPr="005C3CE4">
        <w:t xml:space="preserve">, M., Mohammadi, M., </w:t>
      </w:r>
      <w:proofErr w:type="spellStart"/>
      <w:r w:rsidRPr="005C3CE4">
        <w:t>Kazemi</w:t>
      </w:r>
      <w:proofErr w:type="spellEnd"/>
      <w:r w:rsidRPr="005C3CE4">
        <w:t xml:space="preserve">, M., </w:t>
      </w:r>
      <w:proofErr w:type="spellStart"/>
      <w:r w:rsidRPr="005C3CE4">
        <w:t>Daliri</w:t>
      </w:r>
      <w:proofErr w:type="spellEnd"/>
      <w:r w:rsidRPr="005C3CE4">
        <w:t xml:space="preserve">, M. R., </w:t>
      </w:r>
      <w:proofErr w:type="spellStart"/>
      <w:r w:rsidRPr="005C3CE4">
        <w:t>Minaei-Bidgoli</w:t>
      </w:r>
      <w:proofErr w:type="spellEnd"/>
      <w:r w:rsidRPr="005C3CE4">
        <w:t xml:space="preserve">, B., </w:t>
      </w:r>
      <w:proofErr w:type="spellStart"/>
      <w:r w:rsidRPr="005C3CE4">
        <w:t>Agaei</w:t>
      </w:r>
      <w:proofErr w:type="spellEnd"/>
      <w:r w:rsidRPr="005C3CE4">
        <w:t xml:space="preserve">, H., </w:t>
      </w:r>
      <w:proofErr w:type="spellStart"/>
      <w:r w:rsidRPr="005C3CE4">
        <w:t>Sahraei</w:t>
      </w:r>
      <w:proofErr w:type="spellEnd"/>
      <w:r w:rsidRPr="005C3CE4">
        <w:t xml:space="preserve">, M., Hosseini, S. M. A. S., </w:t>
      </w:r>
      <w:proofErr w:type="spellStart"/>
      <w:r w:rsidRPr="005C3CE4">
        <w:t>Tekieh</w:t>
      </w:r>
      <w:proofErr w:type="spellEnd"/>
      <w:r w:rsidRPr="005C3CE4">
        <w:t xml:space="preserve">, E., Salehi, M., &amp; </w:t>
      </w:r>
      <w:proofErr w:type="spellStart"/>
      <w:r w:rsidRPr="005C3CE4">
        <w:t>Farajdokht</w:t>
      </w:r>
      <w:proofErr w:type="spellEnd"/>
      <w:r w:rsidRPr="005C3CE4">
        <w:t xml:space="preserve">, F. (2020). Changes in </w:t>
      </w:r>
      <w:r w:rsidR="009F5D6B">
        <w:t>c</w:t>
      </w:r>
      <w:r w:rsidRPr="005C3CE4">
        <w:t xml:space="preserve">ognitive </w:t>
      </w:r>
      <w:r w:rsidR="009F5D6B">
        <w:t>f</w:t>
      </w:r>
      <w:r w:rsidRPr="005C3CE4">
        <w:t xml:space="preserve">unctions </w:t>
      </w:r>
      <w:r w:rsidR="009F5D6B">
        <w:t>f</w:t>
      </w:r>
      <w:r w:rsidRPr="005C3CE4">
        <w:t xml:space="preserve">ollowing </w:t>
      </w:r>
      <w:r w:rsidR="009F5D6B">
        <w:t>v</w:t>
      </w:r>
      <w:r w:rsidRPr="005C3CE4">
        <w:t xml:space="preserve">iolent and </w:t>
      </w:r>
      <w:r w:rsidR="009F5D6B">
        <w:t>f</w:t>
      </w:r>
      <w:r w:rsidRPr="005C3CE4">
        <w:t xml:space="preserve">ootball </w:t>
      </w:r>
      <w:r w:rsidR="009F5D6B">
        <w:t>v</w:t>
      </w:r>
      <w:r w:rsidRPr="005C3CE4">
        <w:t xml:space="preserve">ideo </w:t>
      </w:r>
      <w:r w:rsidR="009F5D6B">
        <w:t>g</w:t>
      </w:r>
      <w:r w:rsidRPr="005C3CE4">
        <w:t xml:space="preserve">ames in </w:t>
      </w:r>
      <w:r w:rsidR="009F5D6B">
        <w:t>y</w:t>
      </w:r>
      <w:r w:rsidRPr="005C3CE4">
        <w:t xml:space="preserve">oung </w:t>
      </w:r>
      <w:r w:rsidR="009F5D6B">
        <w:t>m</w:t>
      </w:r>
      <w:r w:rsidRPr="005C3CE4">
        <w:t xml:space="preserve">ale </w:t>
      </w:r>
      <w:r w:rsidR="009F5D6B">
        <w:t>v</w:t>
      </w:r>
      <w:r w:rsidRPr="005C3CE4">
        <w:t xml:space="preserve">olunteers by </w:t>
      </w:r>
      <w:r w:rsidR="009F5D6B">
        <w:t>s</w:t>
      </w:r>
      <w:r w:rsidRPr="005C3CE4">
        <w:t xml:space="preserve">tudying </w:t>
      </w:r>
      <w:r w:rsidR="009F5D6B">
        <w:t>b</w:t>
      </w:r>
      <w:r w:rsidRPr="005C3CE4">
        <w:t xml:space="preserve">rain </w:t>
      </w:r>
      <w:r w:rsidR="009F5D6B">
        <w:t>w</w:t>
      </w:r>
      <w:r w:rsidRPr="005C3CE4">
        <w:t xml:space="preserve">aves. </w:t>
      </w:r>
      <w:r w:rsidRPr="005C3CE4">
        <w:rPr>
          <w:i/>
          <w:iCs/>
        </w:rPr>
        <w:t>Basic and Clinical Neuroscience</w:t>
      </w:r>
      <w:r w:rsidRPr="005C3CE4">
        <w:t xml:space="preserve">, </w:t>
      </w:r>
      <w:r w:rsidRPr="005C3CE4">
        <w:rPr>
          <w:i/>
          <w:iCs/>
        </w:rPr>
        <w:t>11</w:t>
      </w:r>
      <w:r w:rsidRPr="005C3CE4">
        <w:t xml:space="preserve">(3), 279–288. </w:t>
      </w:r>
      <w:hyperlink r:id="rId10">
        <w:r w:rsidRPr="005C3CE4">
          <w:rPr>
            <w:rStyle w:val="Hyperlink"/>
          </w:rPr>
          <w:t>https://doi.org/10.32598/bcn.9.10.335</w:t>
        </w:r>
      </w:hyperlink>
    </w:p>
    <w:p w14:paraId="6C1EA069" w14:textId="77777777" w:rsidR="007C7128" w:rsidRPr="005C3CE4" w:rsidRDefault="00CC0969">
      <w:pPr>
        <w:pStyle w:val="Bibliography"/>
      </w:pPr>
      <w:bookmarkStart w:id="20" w:name="ref-Andre20c"/>
      <w:bookmarkEnd w:id="17"/>
      <w:r w:rsidRPr="005C3CE4">
        <w:t xml:space="preserve">Andre, T. L., Walsh, S. M., </w:t>
      </w:r>
      <w:proofErr w:type="spellStart"/>
      <w:r w:rsidRPr="005C3CE4">
        <w:t>Valladao</w:t>
      </w:r>
      <w:proofErr w:type="spellEnd"/>
      <w:r w:rsidRPr="005C3CE4">
        <w:t xml:space="preserve">, S., &amp; Cox, D. (2020). Physiological and perceptual response to a live collegiate esports tournament. </w:t>
      </w:r>
      <w:r w:rsidRPr="005C3CE4">
        <w:rPr>
          <w:i/>
          <w:iCs/>
        </w:rPr>
        <w:t>International Journal of Exercise Science</w:t>
      </w:r>
      <w:r w:rsidRPr="005C3CE4">
        <w:t xml:space="preserve">, </w:t>
      </w:r>
      <w:r w:rsidRPr="005C3CE4">
        <w:rPr>
          <w:i/>
          <w:iCs/>
        </w:rPr>
        <w:t>13</w:t>
      </w:r>
      <w:r w:rsidRPr="005C3CE4">
        <w:t xml:space="preserve">(6), 1418–1429. </w:t>
      </w:r>
      <w:hyperlink r:id="rId11">
        <w:r w:rsidRPr="005C3CE4">
          <w:rPr>
            <w:rStyle w:val="Hyperlink"/>
          </w:rPr>
          <w:t>https://www.ncbi.nlm.nih.gov/pmc/articles/PMC7523907/</w:t>
        </w:r>
      </w:hyperlink>
    </w:p>
    <w:p w14:paraId="6DFCCE8F" w14:textId="7F32748D" w:rsidR="007C7128" w:rsidRPr="005C3CE4" w:rsidRDefault="00CC0969">
      <w:pPr>
        <w:pStyle w:val="Bibliography"/>
        <w:rPr>
          <w:rStyle w:val="Hyperlink"/>
        </w:rPr>
      </w:pPr>
      <w:bookmarkStart w:id="21" w:name="ref-Asparouhov18"/>
      <w:bookmarkEnd w:id="20"/>
      <w:proofErr w:type="spellStart"/>
      <w:r w:rsidRPr="005C3CE4">
        <w:t>Asparouhov</w:t>
      </w:r>
      <w:proofErr w:type="spellEnd"/>
      <w:r w:rsidRPr="005C3CE4">
        <w:t xml:space="preserve">, T., </w:t>
      </w:r>
      <w:proofErr w:type="spellStart"/>
      <w:r w:rsidRPr="005C3CE4">
        <w:t>Hamaker</w:t>
      </w:r>
      <w:proofErr w:type="spellEnd"/>
      <w:r w:rsidRPr="005C3CE4">
        <w:t xml:space="preserve">, E. L., &amp; </w:t>
      </w:r>
      <w:proofErr w:type="spellStart"/>
      <w:r w:rsidRPr="005C3CE4">
        <w:t>Muthén</w:t>
      </w:r>
      <w:proofErr w:type="spellEnd"/>
      <w:r w:rsidRPr="005C3CE4">
        <w:t xml:space="preserve">, B. (2018). Dynamic </w:t>
      </w:r>
      <w:r w:rsidR="0052295F">
        <w:t>s</w:t>
      </w:r>
      <w:r w:rsidRPr="005C3CE4">
        <w:t xml:space="preserve">tructural </w:t>
      </w:r>
      <w:r w:rsidR="0052295F">
        <w:t>e</w:t>
      </w:r>
      <w:r w:rsidRPr="005C3CE4">
        <w:t xml:space="preserve">quation </w:t>
      </w:r>
      <w:r w:rsidR="0052295F">
        <w:t>m</w:t>
      </w:r>
      <w:r w:rsidRPr="005C3CE4">
        <w:t xml:space="preserve">odels. </w:t>
      </w:r>
      <w:r w:rsidRPr="005C3CE4">
        <w:rPr>
          <w:i/>
          <w:iCs/>
        </w:rPr>
        <w:t>Structural Equation Modeling: A Multidisciplinary Journal</w:t>
      </w:r>
      <w:r w:rsidRPr="005C3CE4">
        <w:t xml:space="preserve">, </w:t>
      </w:r>
      <w:r w:rsidRPr="005C3CE4">
        <w:rPr>
          <w:i/>
          <w:iCs/>
        </w:rPr>
        <w:t>25</w:t>
      </w:r>
      <w:r w:rsidRPr="005C3CE4">
        <w:t xml:space="preserve">(3), 359–388. </w:t>
      </w:r>
      <w:hyperlink r:id="rId12">
        <w:r w:rsidRPr="005C3CE4">
          <w:rPr>
            <w:rStyle w:val="Hyperlink"/>
          </w:rPr>
          <w:t>https://doi.org/10.1080/10705511.2017.1406803</w:t>
        </w:r>
      </w:hyperlink>
    </w:p>
    <w:p w14:paraId="168D2BE1" w14:textId="4FDDE968" w:rsidR="007C7128" w:rsidRPr="005C3CE4" w:rsidRDefault="00CC0969">
      <w:pPr>
        <w:pStyle w:val="Bibliography"/>
        <w:rPr>
          <w:rStyle w:val="Hyperlink"/>
        </w:rPr>
      </w:pPr>
      <w:bookmarkStart w:id="22" w:name="ref-Beaton00a"/>
      <w:bookmarkEnd w:id="21"/>
      <w:r w:rsidRPr="005C3CE4">
        <w:t xml:space="preserve">Beaton, D. E., Bombardier, C., Guillemin, F., &amp; </w:t>
      </w:r>
      <w:proofErr w:type="spellStart"/>
      <w:r w:rsidRPr="005C3CE4">
        <w:t>Ferraz</w:t>
      </w:r>
      <w:proofErr w:type="spellEnd"/>
      <w:r w:rsidRPr="005C3CE4">
        <w:t xml:space="preserve">, M. B. (2000). Guidelines for the Process of Cross-Cultural Adaptation of Self-Report Measures. </w:t>
      </w:r>
      <w:r w:rsidRPr="005C3CE4">
        <w:rPr>
          <w:i/>
          <w:iCs/>
        </w:rPr>
        <w:t>Spine</w:t>
      </w:r>
      <w:r w:rsidRPr="005C3CE4">
        <w:t xml:space="preserve">, </w:t>
      </w:r>
      <w:r w:rsidRPr="005C3CE4">
        <w:rPr>
          <w:i/>
          <w:iCs/>
        </w:rPr>
        <w:t>25</w:t>
      </w:r>
      <w:r w:rsidRPr="005C3CE4">
        <w:t xml:space="preserve">(24), 3186–3191. </w:t>
      </w:r>
      <w:hyperlink r:id="rId13">
        <w:r w:rsidRPr="005C3CE4">
          <w:rPr>
            <w:rStyle w:val="Hyperlink"/>
          </w:rPr>
          <w:t>https://doi.org/10.1097/00007632-200012150-00014</w:t>
        </w:r>
      </w:hyperlink>
    </w:p>
    <w:p w14:paraId="0F501AD8" w14:textId="733365A3" w:rsidR="00C6498E" w:rsidRPr="005C3CE4" w:rsidRDefault="00C6498E">
      <w:pPr>
        <w:pStyle w:val="Bibliography"/>
      </w:pPr>
      <w:proofErr w:type="spellStart"/>
      <w:r w:rsidRPr="005C3CE4">
        <w:t>Boksem</w:t>
      </w:r>
      <w:proofErr w:type="spellEnd"/>
      <w:r w:rsidRPr="005C3CE4">
        <w:t xml:space="preserve">, M. A. S., </w:t>
      </w:r>
      <w:proofErr w:type="spellStart"/>
      <w:r w:rsidRPr="005C3CE4">
        <w:t>Meijman</w:t>
      </w:r>
      <w:proofErr w:type="spellEnd"/>
      <w:r w:rsidRPr="005C3CE4">
        <w:t xml:space="preserve">, T. F., &amp; </w:t>
      </w:r>
      <w:proofErr w:type="spellStart"/>
      <w:r w:rsidRPr="005C3CE4">
        <w:t>Lorist</w:t>
      </w:r>
      <w:proofErr w:type="spellEnd"/>
      <w:r w:rsidRPr="005C3CE4">
        <w:t xml:space="preserve">, M. M. (2006). Mental fatigue, motivation and action monitoring. </w:t>
      </w:r>
      <w:r w:rsidRPr="005C3CE4">
        <w:rPr>
          <w:i/>
          <w:iCs/>
        </w:rPr>
        <w:t>Biological Psychology</w:t>
      </w:r>
      <w:r w:rsidRPr="005C3CE4">
        <w:t xml:space="preserve">, </w:t>
      </w:r>
      <w:r w:rsidRPr="005C3CE4">
        <w:rPr>
          <w:i/>
          <w:iCs/>
        </w:rPr>
        <w:t>72</w:t>
      </w:r>
      <w:r w:rsidRPr="005C3CE4">
        <w:t>(2), 123–132. https://doi.org/10.1016/j.biopsycho.2005.08.007</w:t>
      </w:r>
    </w:p>
    <w:p w14:paraId="40D907D1" w14:textId="77777777" w:rsidR="007C7128" w:rsidRPr="005C3CE4" w:rsidRDefault="00CC0969">
      <w:pPr>
        <w:pStyle w:val="Bibliography"/>
      </w:pPr>
      <w:bookmarkStart w:id="23" w:name="ref-Boksem05"/>
      <w:bookmarkEnd w:id="22"/>
      <w:proofErr w:type="spellStart"/>
      <w:r w:rsidRPr="005C3CE4">
        <w:t>Boksem</w:t>
      </w:r>
      <w:proofErr w:type="spellEnd"/>
      <w:r w:rsidRPr="005C3CE4">
        <w:t xml:space="preserve">, M. A. S., </w:t>
      </w:r>
      <w:proofErr w:type="spellStart"/>
      <w:r w:rsidRPr="005C3CE4">
        <w:t>Meijman</w:t>
      </w:r>
      <w:proofErr w:type="spellEnd"/>
      <w:r w:rsidRPr="005C3CE4">
        <w:t xml:space="preserve">, T. F., &amp; </w:t>
      </w:r>
      <w:proofErr w:type="spellStart"/>
      <w:r w:rsidRPr="005C3CE4">
        <w:t>Lorist</w:t>
      </w:r>
      <w:proofErr w:type="spellEnd"/>
      <w:r w:rsidRPr="005C3CE4">
        <w:t xml:space="preserve">, M. M. (2005). Effects of mental fatigue on attention: An ERP study. </w:t>
      </w:r>
      <w:r w:rsidRPr="005C3CE4">
        <w:rPr>
          <w:i/>
          <w:iCs/>
        </w:rPr>
        <w:t>Cognitive Brain Research</w:t>
      </w:r>
      <w:r w:rsidRPr="005C3CE4">
        <w:t xml:space="preserve">, </w:t>
      </w:r>
      <w:r w:rsidRPr="005C3CE4">
        <w:rPr>
          <w:i/>
          <w:iCs/>
        </w:rPr>
        <w:t>25</w:t>
      </w:r>
      <w:r w:rsidRPr="005C3CE4">
        <w:t xml:space="preserve">(1), 107–116. </w:t>
      </w:r>
      <w:hyperlink r:id="rId14">
        <w:r w:rsidRPr="005C3CE4">
          <w:rPr>
            <w:rStyle w:val="Hyperlink"/>
          </w:rPr>
          <w:t>https://doi.org/10.1016/j.cogbrainres.2005.04.011</w:t>
        </w:r>
      </w:hyperlink>
    </w:p>
    <w:p w14:paraId="610DB5CA" w14:textId="77777777" w:rsidR="007C7128" w:rsidRPr="005C3CE4" w:rsidRDefault="00CC0969">
      <w:pPr>
        <w:pStyle w:val="Bibliography"/>
      </w:pPr>
      <w:bookmarkStart w:id="24" w:name="ref-Chung19"/>
      <w:bookmarkEnd w:id="23"/>
      <w:r w:rsidRPr="005C3CE4">
        <w:lastRenderedPageBreak/>
        <w:t xml:space="preserve">Chung, T., Sum, S., Chan, M., Lai, E., &amp; Cheng, N. (2019). Will esports result in a higher prevalence of problematic gaming? A review of the global situation. </w:t>
      </w:r>
      <w:r w:rsidRPr="005C3CE4">
        <w:rPr>
          <w:i/>
          <w:iCs/>
        </w:rPr>
        <w:t>Journal of Behavioral Addictions</w:t>
      </w:r>
      <w:r w:rsidRPr="005C3CE4">
        <w:t xml:space="preserve">, </w:t>
      </w:r>
      <w:r w:rsidRPr="005C3CE4">
        <w:rPr>
          <w:i/>
          <w:iCs/>
        </w:rPr>
        <w:t>8</w:t>
      </w:r>
      <w:r w:rsidRPr="005C3CE4">
        <w:t xml:space="preserve">(3), 384–394. </w:t>
      </w:r>
      <w:hyperlink r:id="rId15">
        <w:r w:rsidRPr="005C3CE4">
          <w:rPr>
            <w:rStyle w:val="Hyperlink"/>
          </w:rPr>
          <w:t>https://doi.org/10.1556/2006.8.2019.46</w:t>
        </w:r>
      </w:hyperlink>
    </w:p>
    <w:p w14:paraId="6603F08E" w14:textId="6C13713D" w:rsidR="007C7128" w:rsidRPr="005C3CE4" w:rsidRDefault="00CC0969">
      <w:pPr>
        <w:pStyle w:val="Bibliography"/>
        <w:rPr>
          <w:rStyle w:val="Hyperlink"/>
        </w:rPr>
      </w:pPr>
      <w:bookmarkStart w:id="25" w:name="ref-Cunningham18"/>
      <w:bookmarkEnd w:id="24"/>
      <w:r w:rsidRPr="005C3CE4">
        <w:t xml:space="preserve">Cunningham, G. B., Fairley, S., </w:t>
      </w:r>
      <w:proofErr w:type="spellStart"/>
      <w:r w:rsidRPr="005C3CE4">
        <w:t>Ferkins</w:t>
      </w:r>
      <w:proofErr w:type="spellEnd"/>
      <w:r w:rsidRPr="005C3CE4">
        <w:t xml:space="preserve">, L., </w:t>
      </w:r>
      <w:proofErr w:type="spellStart"/>
      <w:r w:rsidRPr="005C3CE4">
        <w:t>Kerwin</w:t>
      </w:r>
      <w:proofErr w:type="spellEnd"/>
      <w:r w:rsidRPr="005C3CE4">
        <w:t xml:space="preserve">, S., Lock, D., Shaw, S., &amp; Wicker, P. (2018). </w:t>
      </w:r>
      <w:proofErr w:type="spellStart"/>
      <w:r w:rsidR="00AF5C54">
        <w:t>Es</w:t>
      </w:r>
      <w:r w:rsidRPr="005C3CE4">
        <w:t>port</w:t>
      </w:r>
      <w:proofErr w:type="spellEnd"/>
      <w:r w:rsidRPr="005C3CE4">
        <w:t xml:space="preserve">: Construct specifications and implications for sport management. </w:t>
      </w:r>
      <w:r w:rsidRPr="005C3CE4">
        <w:rPr>
          <w:i/>
          <w:iCs/>
        </w:rPr>
        <w:t>Sport Management Review</w:t>
      </w:r>
      <w:r w:rsidRPr="005C3CE4">
        <w:t xml:space="preserve">, </w:t>
      </w:r>
      <w:r w:rsidRPr="005C3CE4">
        <w:rPr>
          <w:i/>
          <w:iCs/>
        </w:rPr>
        <w:t>21</w:t>
      </w:r>
      <w:r w:rsidRPr="005C3CE4">
        <w:t xml:space="preserve">(1), 1–6. </w:t>
      </w:r>
      <w:hyperlink r:id="rId16">
        <w:r w:rsidRPr="005C3CE4">
          <w:rPr>
            <w:rStyle w:val="Hyperlink"/>
          </w:rPr>
          <w:t>https://doi.org/10.1016/j.smr.2017.11.002</w:t>
        </w:r>
      </w:hyperlink>
    </w:p>
    <w:p w14:paraId="62DEE5A3" w14:textId="37B2D82E" w:rsidR="002510F6" w:rsidRPr="005C3CE4" w:rsidRDefault="002510F6">
      <w:pPr>
        <w:pStyle w:val="Bibliography"/>
      </w:pPr>
      <w:r w:rsidRPr="005C3CE4">
        <w:t xml:space="preserve">Demerouti, E., Bakker, A. B., </w:t>
      </w:r>
      <w:proofErr w:type="spellStart"/>
      <w:r w:rsidRPr="005C3CE4">
        <w:t>Nachreiner</w:t>
      </w:r>
      <w:proofErr w:type="spellEnd"/>
      <w:r w:rsidRPr="005C3CE4">
        <w:t xml:space="preserve">, F., &amp; Schaufeli, W. B. (2001). The job demands-resources model of burnout. </w:t>
      </w:r>
      <w:r w:rsidRPr="005C3CE4">
        <w:rPr>
          <w:i/>
          <w:iCs/>
        </w:rPr>
        <w:t>Journal of Applied Psychology</w:t>
      </w:r>
      <w:r w:rsidRPr="005C3CE4">
        <w:t xml:space="preserve">, </w:t>
      </w:r>
      <w:r w:rsidRPr="005C3CE4">
        <w:rPr>
          <w:i/>
          <w:iCs/>
        </w:rPr>
        <w:t>86</w:t>
      </w:r>
      <w:r w:rsidRPr="005C3CE4">
        <w:t>(3), 499–512. https://doi.org/10.1037/0021-9010.86.3.499</w:t>
      </w:r>
    </w:p>
    <w:p w14:paraId="40306030" w14:textId="73FC1486" w:rsidR="007C7128" w:rsidRPr="005C3CE4" w:rsidRDefault="00CC0969">
      <w:pPr>
        <w:pStyle w:val="Bibliography"/>
      </w:pPr>
      <w:bookmarkStart w:id="26" w:name="ref-Fahrenberg07"/>
      <w:bookmarkEnd w:id="25"/>
      <w:proofErr w:type="spellStart"/>
      <w:r w:rsidRPr="005C3CE4">
        <w:t>Fahrenberg</w:t>
      </w:r>
      <w:proofErr w:type="spellEnd"/>
      <w:r w:rsidRPr="005C3CE4">
        <w:t xml:space="preserve">, J., </w:t>
      </w:r>
      <w:proofErr w:type="spellStart"/>
      <w:r w:rsidRPr="005C3CE4">
        <w:t>Myrtek</w:t>
      </w:r>
      <w:proofErr w:type="spellEnd"/>
      <w:r w:rsidRPr="005C3CE4">
        <w:t xml:space="preserve">, M., </w:t>
      </w:r>
      <w:proofErr w:type="spellStart"/>
      <w:r w:rsidRPr="005C3CE4">
        <w:t>Pawlik</w:t>
      </w:r>
      <w:proofErr w:type="spellEnd"/>
      <w:r w:rsidRPr="005C3CE4">
        <w:t xml:space="preserve">, K., &amp; </w:t>
      </w:r>
      <w:proofErr w:type="spellStart"/>
      <w:r w:rsidRPr="005C3CE4">
        <w:t>Perrez</w:t>
      </w:r>
      <w:proofErr w:type="spellEnd"/>
      <w:r w:rsidRPr="005C3CE4">
        <w:t xml:space="preserve">, M. (2007). Ambulatory </w:t>
      </w:r>
      <w:r w:rsidR="00FB69F4">
        <w:t>a</w:t>
      </w:r>
      <w:r w:rsidRPr="005C3CE4">
        <w:t xml:space="preserve">ssessment - </w:t>
      </w:r>
      <w:r w:rsidR="00FB69F4">
        <w:t>m</w:t>
      </w:r>
      <w:r w:rsidRPr="005C3CE4">
        <w:t xml:space="preserve">onitoring </w:t>
      </w:r>
      <w:r w:rsidR="00FB69F4">
        <w:t>b</w:t>
      </w:r>
      <w:r w:rsidRPr="005C3CE4">
        <w:t xml:space="preserve">ehavior in </w:t>
      </w:r>
      <w:r w:rsidR="00FB69F4">
        <w:t>d</w:t>
      </w:r>
      <w:r w:rsidRPr="005C3CE4">
        <w:t xml:space="preserve">aily </w:t>
      </w:r>
      <w:r w:rsidR="00FB69F4">
        <w:t>l</w:t>
      </w:r>
      <w:r w:rsidRPr="005C3CE4">
        <w:t xml:space="preserve">ife </w:t>
      </w:r>
      <w:r w:rsidR="00FB69F4">
        <w:t>s</w:t>
      </w:r>
      <w:r w:rsidRPr="005C3CE4">
        <w:t xml:space="preserve">ettings. </w:t>
      </w:r>
      <w:r w:rsidRPr="005C3CE4">
        <w:rPr>
          <w:i/>
          <w:iCs/>
        </w:rPr>
        <w:t>European Journal of Psychological Assessment</w:t>
      </w:r>
      <w:r w:rsidRPr="005C3CE4">
        <w:t xml:space="preserve">, </w:t>
      </w:r>
      <w:r w:rsidRPr="005C3CE4">
        <w:rPr>
          <w:i/>
          <w:iCs/>
        </w:rPr>
        <w:t>23</w:t>
      </w:r>
      <w:r w:rsidRPr="005C3CE4">
        <w:t xml:space="preserve">(4), 206–213. </w:t>
      </w:r>
      <w:hyperlink r:id="rId17">
        <w:r w:rsidRPr="005C3CE4">
          <w:rPr>
            <w:rStyle w:val="Hyperlink"/>
          </w:rPr>
          <w:t>https://doi.org/10.1027/1015-5759.23.4.206</w:t>
        </w:r>
      </w:hyperlink>
    </w:p>
    <w:p w14:paraId="1AE6DACB" w14:textId="35A7FBF2" w:rsidR="007C7128" w:rsidRPr="005C3CE4" w:rsidRDefault="00CC0969">
      <w:pPr>
        <w:pStyle w:val="Bibliography"/>
      </w:pPr>
      <w:bookmarkStart w:id="27" w:name="ref-Fortes20a"/>
      <w:bookmarkEnd w:id="26"/>
      <w:r w:rsidRPr="005C3CE4">
        <w:t xml:space="preserve">Fortes, L. S., De Lima-Junior, D., </w:t>
      </w:r>
      <w:proofErr w:type="spellStart"/>
      <w:r w:rsidRPr="005C3CE4">
        <w:t>Fiorese</w:t>
      </w:r>
      <w:proofErr w:type="spellEnd"/>
      <w:r w:rsidRPr="005C3CE4">
        <w:t xml:space="preserve">, L., Nascimento-Júnior, J. R. A., </w:t>
      </w:r>
      <w:proofErr w:type="spellStart"/>
      <w:r w:rsidRPr="005C3CE4">
        <w:t>Mortatti</w:t>
      </w:r>
      <w:proofErr w:type="spellEnd"/>
      <w:r w:rsidRPr="005C3CE4">
        <w:t xml:space="preserve">, A. L., &amp; Ferreira, M. E. C. (2020). The effect of smartphones and playing video games on decision-making in soccer players: A crossover and </w:t>
      </w:r>
      <w:proofErr w:type="spellStart"/>
      <w:r w:rsidRPr="005C3CE4">
        <w:t>randomised</w:t>
      </w:r>
      <w:proofErr w:type="spellEnd"/>
      <w:r w:rsidRPr="005C3CE4">
        <w:t xml:space="preserve"> study. </w:t>
      </w:r>
      <w:r w:rsidRPr="005C3CE4">
        <w:rPr>
          <w:i/>
          <w:iCs/>
        </w:rPr>
        <w:t>Journal of Sports Sciences</w:t>
      </w:r>
      <w:r w:rsidRPr="005C3CE4">
        <w:t xml:space="preserve">, </w:t>
      </w:r>
      <w:r w:rsidRPr="005C3CE4">
        <w:rPr>
          <w:i/>
          <w:iCs/>
        </w:rPr>
        <w:t>38</w:t>
      </w:r>
      <w:r w:rsidRPr="005C3CE4">
        <w:t xml:space="preserve">(5), 552–558. </w:t>
      </w:r>
      <w:hyperlink r:id="rId18">
        <w:r w:rsidRPr="005C3CE4">
          <w:rPr>
            <w:rStyle w:val="Hyperlink"/>
          </w:rPr>
          <w:t>https://doi.org/10.1080/02640414.2020.1715181</w:t>
        </w:r>
      </w:hyperlink>
    </w:p>
    <w:p w14:paraId="194CB2AD" w14:textId="395106EF" w:rsidR="007C7128" w:rsidRPr="005C3CE4" w:rsidRDefault="00CC0969">
      <w:pPr>
        <w:pStyle w:val="Bibliography"/>
        <w:rPr>
          <w:rStyle w:val="Hyperlink"/>
        </w:rPr>
      </w:pPr>
      <w:bookmarkStart w:id="28" w:name="ref-Funk18"/>
      <w:bookmarkEnd w:id="27"/>
      <w:r w:rsidRPr="005C3CE4">
        <w:t xml:space="preserve">Funk, D. C., </w:t>
      </w:r>
      <w:proofErr w:type="spellStart"/>
      <w:r w:rsidRPr="005C3CE4">
        <w:t>Pizzo</w:t>
      </w:r>
      <w:proofErr w:type="spellEnd"/>
      <w:r w:rsidRPr="005C3CE4">
        <w:t xml:space="preserve">, A. D., &amp; Baker, B. J. (2018). </w:t>
      </w:r>
      <w:proofErr w:type="spellStart"/>
      <w:r w:rsidR="0098504D">
        <w:t>E</w:t>
      </w:r>
      <w:r w:rsidR="00F85AD1">
        <w:t>s</w:t>
      </w:r>
      <w:r w:rsidRPr="005C3CE4">
        <w:t>port</w:t>
      </w:r>
      <w:proofErr w:type="spellEnd"/>
      <w:r w:rsidRPr="005C3CE4">
        <w:t xml:space="preserve"> management: Embracing </w:t>
      </w:r>
      <w:proofErr w:type="spellStart"/>
      <w:r w:rsidRPr="005C3CE4">
        <w:t>e</w:t>
      </w:r>
      <w:r w:rsidR="0071448A">
        <w:t>s</w:t>
      </w:r>
      <w:r w:rsidRPr="005C3CE4">
        <w:t>port</w:t>
      </w:r>
      <w:proofErr w:type="spellEnd"/>
      <w:r w:rsidRPr="005C3CE4">
        <w:t xml:space="preserve"> education and research opportunities. </w:t>
      </w:r>
      <w:r w:rsidRPr="005C3CE4">
        <w:rPr>
          <w:i/>
          <w:iCs/>
        </w:rPr>
        <w:t>Sport Management Review</w:t>
      </w:r>
      <w:r w:rsidRPr="005C3CE4">
        <w:t xml:space="preserve">, </w:t>
      </w:r>
      <w:r w:rsidRPr="005C3CE4">
        <w:rPr>
          <w:i/>
          <w:iCs/>
        </w:rPr>
        <w:t>21</w:t>
      </w:r>
      <w:r w:rsidRPr="005C3CE4">
        <w:t xml:space="preserve">(1), 7–13. </w:t>
      </w:r>
      <w:hyperlink r:id="rId19">
        <w:r w:rsidRPr="005C3CE4">
          <w:rPr>
            <w:rStyle w:val="Hyperlink"/>
          </w:rPr>
          <w:t>https://doi.org/10.1016/j.smr.2017.07.008</w:t>
        </w:r>
      </w:hyperlink>
    </w:p>
    <w:p w14:paraId="6864B808" w14:textId="3F609DF4" w:rsidR="00364898" w:rsidRPr="005C3CE4" w:rsidRDefault="00364898">
      <w:pPr>
        <w:pStyle w:val="Bibliography"/>
      </w:pPr>
      <w:r w:rsidRPr="005C3CE4">
        <w:t xml:space="preserve">Granger, C. W. J. (1969). Investigating causal relations by econometric models and cross-spectral methods. </w:t>
      </w:r>
      <w:proofErr w:type="spellStart"/>
      <w:r w:rsidRPr="005C3CE4">
        <w:rPr>
          <w:i/>
          <w:iCs/>
        </w:rPr>
        <w:t>Econometrica</w:t>
      </w:r>
      <w:proofErr w:type="spellEnd"/>
      <w:r w:rsidRPr="005C3CE4">
        <w:t xml:space="preserve">, </w:t>
      </w:r>
      <w:r w:rsidRPr="005C3CE4">
        <w:rPr>
          <w:i/>
          <w:iCs/>
        </w:rPr>
        <w:t>37</w:t>
      </w:r>
      <w:r w:rsidRPr="005C3CE4">
        <w:t>(3), 424–438. https://doi.org/10.2307/1912791</w:t>
      </w:r>
    </w:p>
    <w:p w14:paraId="2E6F5F61" w14:textId="6A3190E2" w:rsidR="007C7128" w:rsidRPr="005C3CE4" w:rsidRDefault="00CC0969">
      <w:pPr>
        <w:pStyle w:val="Bibliography"/>
        <w:rPr>
          <w:rStyle w:val="Hyperlink"/>
        </w:rPr>
      </w:pPr>
      <w:bookmarkStart w:id="29" w:name="ref-Gundogdu21"/>
      <w:bookmarkEnd w:id="28"/>
      <w:proofErr w:type="spellStart"/>
      <w:r w:rsidRPr="005C3CE4">
        <w:lastRenderedPageBreak/>
        <w:t>Gundogdu</w:t>
      </w:r>
      <w:proofErr w:type="spellEnd"/>
      <w:r w:rsidRPr="005C3CE4">
        <w:t xml:space="preserve">, S., </w:t>
      </w:r>
      <w:proofErr w:type="spellStart"/>
      <w:r w:rsidRPr="005C3CE4">
        <w:t>Colak</w:t>
      </w:r>
      <w:proofErr w:type="spellEnd"/>
      <w:r w:rsidRPr="005C3CE4">
        <w:t xml:space="preserve">, O. H., Dogan, E. A., </w:t>
      </w:r>
      <w:proofErr w:type="spellStart"/>
      <w:r w:rsidRPr="005C3CE4">
        <w:t>Gulbetekin</w:t>
      </w:r>
      <w:proofErr w:type="spellEnd"/>
      <w:r w:rsidRPr="005C3CE4">
        <w:t xml:space="preserve">, E., &amp; </w:t>
      </w:r>
      <w:proofErr w:type="spellStart"/>
      <w:r w:rsidRPr="005C3CE4">
        <w:t>Polat</w:t>
      </w:r>
      <w:proofErr w:type="spellEnd"/>
      <w:r w:rsidRPr="005C3CE4">
        <w:t xml:space="preserve">, O. (2021). Assessment of mental fatigue and stress on electronic sport players with data fusion. </w:t>
      </w:r>
      <w:r w:rsidRPr="005C3CE4">
        <w:rPr>
          <w:i/>
          <w:iCs/>
        </w:rPr>
        <w:t>Medical &amp; Biological Engineering &amp; Computing</w:t>
      </w:r>
      <w:r w:rsidRPr="005C3CE4">
        <w:t xml:space="preserve">, </w:t>
      </w:r>
      <w:r w:rsidRPr="005C3CE4">
        <w:rPr>
          <w:i/>
          <w:iCs/>
        </w:rPr>
        <w:t>59</w:t>
      </w:r>
      <w:r w:rsidRPr="005C3CE4">
        <w:t xml:space="preserve">(9), 1691–1707. </w:t>
      </w:r>
      <w:hyperlink r:id="rId20">
        <w:r w:rsidRPr="005C3CE4">
          <w:rPr>
            <w:rStyle w:val="Hyperlink"/>
          </w:rPr>
          <w:t>https://doi.org/10.1007/s11517-021-02389-9</w:t>
        </w:r>
      </w:hyperlink>
    </w:p>
    <w:p w14:paraId="0A9021B8" w14:textId="47F0E572" w:rsidR="00E81B09" w:rsidRPr="005C3CE4" w:rsidRDefault="00E81B09">
      <w:pPr>
        <w:pStyle w:val="Bibliography"/>
      </w:pPr>
      <w:r w:rsidRPr="005C3CE4">
        <w:t xml:space="preserve">Harris, S., &amp; Bray, S. R. (2019). Effects of mental fatigue on exercise decision-making. </w:t>
      </w:r>
      <w:r w:rsidRPr="005C3CE4">
        <w:rPr>
          <w:i/>
          <w:iCs/>
        </w:rPr>
        <w:t>Psychology of Sport and Exercise</w:t>
      </w:r>
      <w:r w:rsidRPr="005C3CE4">
        <w:t xml:space="preserve">, </w:t>
      </w:r>
      <w:r w:rsidRPr="005C3CE4">
        <w:rPr>
          <w:i/>
          <w:iCs/>
        </w:rPr>
        <w:t>44</w:t>
      </w:r>
      <w:r w:rsidRPr="005C3CE4">
        <w:t>, 1–8. https://doi.org/10.1016/j.psychsport.2019.04.005</w:t>
      </w:r>
    </w:p>
    <w:p w14:paraId="01AADF7D" w14:textId="24A9BD3B" w:rsidR="007C7128" w:rsidRPr="005C3CE4" w:rsidRDefault="00CC0969">
      <w:pPr>
        <w:pStyle w:val="Bibliography"/>
      </w:pPr>
      <w:bookmarkStart w:id="30" w:name="ref-Jacquet21"/>
      <w:bookmarkEnd w:id="29"/>
      <w:proofErr w:type="spellStart"/>
      <w:r w:rsidRPr="005C3CE4">
        <w:t>Jacquet</w:t>
      </w:r>
      <w:proofErr w:type="spellEnd"/>
      <w:r w:rsidRPr="005C3CE4">
        <w:t>, T., Poulin-</w:t>
      </w:r>
      <w:proofErr w:type="spellStart"/>
      <w:r w:rsidRPr="005C3CE4">
        <w:t>Charronnat</w:t>
      </w:r>
      <w:proofErr w:type="spellEnd"/>
      <w:r w:rsidRPr="005C3CE4">
        <w:t xml:space="preserve">, B., Bard, P., &amp; Lepers, R. (2021). Persistence of </w:t>
      </w:r>
      <w:r w:rsidR="00253891">
        <w:t>m</w:t>
      </w:r>
      <w:r w:rsidRPr="005C3CE4">
        <w:t xml:space="preserve">ental </w:t>
      </w:r>
      <w:r w:rsidR="00253891">
        <w:t>f</w:t>
      </w:r>
      <w:r w:rsidRPr="005C3CE4">
        <w:t xml:space="preserve">atigue on </w:t>
      </w:r>
      <w:r w:rsidR="00253891">
        <w:t>m</w:t>
      </w:r>
      <w:r w:rsidRPr="005C3CE4">
        <w:t xml:space="preserve">otor </w:t>
      </w:r>
      <w:r w:rsidR="00253891">
        <w:t>c</w:t>
      </w:r>
      <w:r w:rsidRPr="005C3CE4">
        <w:t xml:space="preserve">ontrol. </w:t>
      </w:r>
      <w:r w:rsidRPr="005C3CE4">
        <w:rPr>
          <w:i/>
          <w:iCs/>
        </w:rPr>
        <w:t>Frontiers in Psychology</w:t>
      </w:r>
      <w:r w:rsidRPr="005C3CE4">
        <w:t xml:space="preserve">, </w:t>
      </w:r>
      <w:r w:rsidRPr="005C3CE4">
        <w:rPr>
          <w:i/>
          <w:iCs/>
        </w:rPr>
        <w:t>11</w:t>
      </w:r>
      <w:r w:rsidRPr="005C3CE4">
        <w:t xml:space="preserve">, 3679. </w:t>
      </w:r>
      <w:hyperlink r:id="rId21">
        <w:r w:rsidRPr="005C3CE4">
          <w:rPr>
            <w:rStyle w:val="Hyperlink"/>
          </w:rPr>
          <w:t>https://doi.org/10.3389/fpsyg.2020.588253</w:t>
        </w:r>
      </w:hyperlink>
    </w:p>
    <w:p w14:paraId="134C6A52" w14:textId="77777777" w:rsidR="007C7128" w:rsidRPr="005C3CE4" w:rsidRDefault="00CC0969">
      <w:pPr>
        <w:pStyle w:val="Bibliography"/>
      </w:pPr>
      <w:bookmarkStart w:id="31" w:name="ref-Mannikko15"/>
      <w:bookmarkEnd w:id="30"/>
      <w:proofErr w:type="spellStart"/>
      <w:r w:rsidRPr="005C3CE4">
        <w:t>Mannikko</w:t>
      </w:r>
      <w:proofErr w:type="spellEnd"/>
      <w:r w:rsidRPr="005C3CE4">
        <w:t xml:space="preserve">, N., </w:t>
      </w:r>
      <w:proofErr w:type="spellStart"/>
      <w:r w:rsidRPr="005C3CE4">
        <w:t>Billieux</w:t>
      </w:r>
      <w:proofErr w:type="spellEnd"/>
      <w:r w:rsidRPr="005C3CE4">
        <w:t xml:space="preserve">, J., &amp; </w:t>
      </w:r>
      <w:proofErr w:type="spellStart"/>
      <w:r w:rsidRPr="005C3CE4">
        <w:t>Kaariainen</w:t>
      </w:r>
      <w:proofErr w:type="spellEnd"/>
      <w:r w:rsidRPr="005C3CE4">
        <w:t xml:space="preserve">, M. (2015). Problematic digital gaming behavior and its relation to the psychological, social and physical health of Finnish adolescents and young adults. </w:t>
      </w:r>
      <w:r w:rsidRPr="005C3CE4">
        <w:rPr>
          <w:i/>
          <w:iCs/>
        </w:rPr>
        <w:t>Journal of Behavioral Addictions</w:t>
      </w:r>
      <w:r w:rsidRPr="005C3CE4">
        <w:t xml:space="preserve">, </w:t>
      </w:r>
      <w:r w:rsidRPr="005C3CE4">
        <w:rPr>
          <w:i/>
          <w:iCs/>
        </w:rPr>
        <w:t>4</w:t>
      </w:r>
      <w:r w:rsidRPr="005C3CE4">
        <w:t xml:space="preserve">(4), 281–288. </w:t>
      </w:r>
      <w:hyperlink r:id="rId22">
        <w:r w:rsidRPr="005C3CE4">
          <w:rPr>
            <w:rStyle w:val="Hyperlink"/>
          </w:rPr>
          <w:t>https://doi.org/10.1556/2006.4.2015.040</w:t>
        </w:r>
      </w:hyperlink>
    </w:p>
    <w:p w14:paraId="0E7C5035" w14:textId="28142A13" w:rsidR="00C6498E" w:rsidRPr="005C3CE4" w:rsidRDefault="00CC0969" w:rsidP="00C6498E">
      <w:pPr>
        <w:pStyle w:val="Bibliography"/>
        <w:rPr>
          <w:color w:val="4F81BD" w:themeColor="accent1"/>
        </w:rPr>
      </w:pPr>
      <w:bookmarkStart w:id="32" w:name="ref-Marcora09"/>
      <w:bookmarkEnd w:id="31"/>
      <w:proofErr w:type="spellStart"/>
      <w:r w:rsidRPr="005C3CE4">
        <w:t>Marcora</w:t>
      </w:r>
      <w:proofErr w:type="spellEnd"/>
      <w:r w:rsidRPr="005C3CE4">
        <w:t xml:space="preserve">, S. M., </w:t>
      </w:r>
      <w:proofErr w:type="spellStart"/>
      <w:r w:rsidRPr="005C3CE4">
        <w:t>Staiano</w:t>
      </w:r>
      <w:proofErr w:type="spellEnd"/>
      <w:r w:rsidRPr="005C3CE4">
        <w:t xml:space="preserve">, W., &amp; Manning, V. (2009). Mental fatigue impairs physical performance in humans. </w:t>
      </w:r>
      <w:r w:rsidRPr="005C3CE4">
        <w:rPr>
          <w:i/>
          <w:iCs/>
        </w:rPr>
        <w:t>Journal of Applied Physiology</w:t>
      </w:r>
      <w:r w:rsidRPr="005C3CE4">
        <w:t xml:space="preserve">, </w:t>
      </w:r>
      <w:r w:rsidRPr="005C3CE4">
        <w:rPr>
          <w:i/>
          <w:iCs/>
        </w:rPr>
        <w:t>106</w:t>
      </w:r>
      <w:r w:rsidRPr="005C3CE4">
        <w:t xml:space="preserve">(3), 857–864. </w:t>
      </w:r>
      <w:hyperlink r:id="rId23">
        <w:r w:rsidRPr="005C3CE4">
          <w:rPr>
            <w:rStyle w:val="Hyperlink"/>
          </w:rPr>
          <w:t>https://doi.org/10.1152/japplphysiol.91324.2008</w:t>
        </w:r>
      </w:hyperlink>
    </w:p>
    <w:p w14:paraId="5283DF26" w14:textId="2455DA00" w:rsidR="007C7128" w:rsidRPr="005C3CE4" w:rsidRDefault="00CC0969">
      <w:pPr>
        <w:pStyle w:val="Bibliography"/>
      </w:pPr>
      <w:bookmarkStart w:id="33" w:name="ref-Micklewright17"/>
      <w:bookmarkEnd w:id="32"/>
      <w:proofErr w:type="spellStart"/>
      <w:r w:rsidRPr="005C3CE4">
        <w:t>Micklewright</w:t>
      </w:r>
      <w:proofErr w:type="spellEnd"/>
      <w:r w:rsidRPr="005C3CE4">
        <w:t xml:space="preserve">, D., St Clair Gibson, A., Gladwell, V., &amp; Al Salman, A. (2017). Development and </w:t>
      </w:r>
      <w:r w:rsidR="00300E69">
        <w:t>v</w:t>
      </w:r>
      <w:r w:rsidRPr="005C3CE4">
        <w:t xml:space="preserve">alidity of the Rating-of-Fatigue Scale. </w:t>
      </w:r>
      <w:r w:rsidRPr="005C3CE4">
        <w:rPr>
          <w:i/>
          <w:iCs/>
        </w:rPr>
        <w:t>Sports Medicine</w:t>
      </w:r>
      <w:r w:rsidRPr="005C3CE4">
        <w:t xml:space="preserve">, </w:t>
      </w:r>
      <w:r w:rsidRPr="005C3CE4">
        <w:rPr>
          <w:i/>
          <w:iCs/>
        </w:rPr>
        <w:t>47</w:t>
      </w:r>
      <w:r w:rsidRPr="005C3CE4">
        <w:t xml:space="preserve">(11), 2375–2393. </w:t>
      </w:r>
      <w:hyperlink r:id="rId24">
        <w:r w:rsidRPr="005C3CE4">
          <w:rPr>
            <w:rStyle w:val="Hyperlink"/>
          </w:rPr>
          <w:t>https://doi.org/10.1007/s40279-017-0711-5</w:t>
        </w:r>
      </w:hyperlink>
    </w:p>
    <w:p w14:paraId="2814A0EE" w14:textId="77777777" w:rsidR="007C7128" w:rsidRPr="005C3CE4" w:rsidRDefault="00CC0969">
      <w:pPr>
        <w:pStyle w:val="Bibliography"/>
      </w:pPr>
      <w:bookmarkStart w:id="34" w:name="ref-Muthen17"/>
      <w:bookmarkEnd w:id="33"/>
      <w:proofErr w:type="spellStart"/>
      <w:r w:rsidRPr="005C3CE4">
        <w:lastRenderedPageBreak/>
        <w:t>Muthen</w:t>
      </w:r>
      <w:proofErr w:type="spellEnd"/>
      <w:r w:rsidRPr="005C3CE4">
        <w:t xml:space="preserve">, L. K., &amp; </w:t>
      </w:r>
      <w:proofErr w:type="spellStart"/>
      <w:r w:rsidRPr="005C3CE4">
        <w:t>Muthen</w:t>
      </w:r>
      <w:proofErr w:type="spellEnd"/>
      <w:r w:rsidRPr="005C3CE4">
        <w:t xml:space="preserve">, B. (2017). </w:t>
      </w:r>
      <w:proofErr w:type="spellStart"/>
      <w:r w:rsidRPr="005C3CE4">
        <w:rPr>
          <w:i/>
          <w:iCs/>
        </w:rPr>
        <w:t>Mplus</w:t>
      </w:r>
      <w:proofErr w:type="spellEnd"/>
      <w:r w:rsidRPr="005C3CE4">
        <w:rPr>
          <w:i/>
          <w:iCs/>
        </w:rPr>
        <w:t xml:space="preserve"> user’s guide: statistical analysis with latent variables</w:t>
      </w:r>
      <w:r w:rsidRPr="005C3CE4">
        <w:t>.</w:t>
      </w:r>
    </w:p>
    <w:p w14:paraId="27364E07" w14:textId="5A8BB636" w:rsidR="00282356" w:rsidRPr="005C3CE4" w:rsidRDefault="00282356">
      <w:pPr>
        <w:pStyle w:val="Bibliography"/>
      </w:pPr>
      <w:bookmarkStart w:id="35" w:name="ref-zotero-6882"/>
      <w:bookmarkEnd w:id="34"/>
      <w:r w:rsidRPr="005C3CE4">
        <w:t xml:space="preserve">Nicholson, M., </w:t>
      </w:r>
      <w:proofErr w:type="spellStart"/>
      <w:r w:rsidRPr="005C3CE4">
        <w:t>Poulus</w:t>
      </w:r>
      <w:proofErr w:type="spellEnd"/>
      <w:r w:rsidRPr="005C3CE4">
        <w:t xml:space="preserve">, D., &amp; McNulty, C. (2020). Letter in response to review: More physiological research is needed in Esports. </w:t>
      </w:r>
      <w:r w:rsidRPr="005C3CE4">
        <w:rPr>
          <w:i/>
          <w:iCs/>
        </w:rPr>
        <w:t>International Journal of Esports</w:t>
      </w:r>
      <w:r w:rsidRPr="005C3CE4">
        <w:t xml:space="preserve">, </w:t>
      </w:r>
      <w:r w:rsidRPr="005C3CE4">
        <w:rPr>
          <w:i/>
          <w:iCs/>
        </w:rPr>
        <w:t>1</w:t>
      </w:r>
      <w:r w:rsidRPr="005C3CE4">
        <w:t>(1), Article number: 311-6.</w:t>
      </w:r>
    </w:p>
    <w:p w14:paraId="3C804ABF" w14:textId="102FCD04" w:rsidR="007C7128" w:rsidRPr="005C3CE4" w:rsidRDefault="00CC0969">
      <w:pPr>
        <w:pStyle w:val="Bibliography"/>
      </w:pPr>
      <w:bookmarkStart w:id="36" w:name="ref-Pedraza-Ramirez20"/>
      <w:bookmarkEnd w:id="35"/>
      <w:r w:rsidRPr="005C3CE4">
        <w:t xml:space="preserve">Pedraza-Ramirez, I., Musculus, L., </w:t>
      </w:r>
      <w:proofErr w:type="spellStart"/>
      <w:r w:rsidRPr="005C3CE4">
        <w:t>Raab</w:t>
      </w:r>
      <w:proofErr w:type="spellEnd"/>
      <w:r w:rsidRPr="005C3CE4">
        <w:t xml:space="preserve">, M., &amp; Laborde, S. (2020). Setting the scientific stage for esports psychology: </w:t>
      </w:r>
      <w:r w:rsidR="009C2015">
        <w:t>A</w:t>
      </w:r>
      <w:r w:rsidRPr="005C3CE4">
        <w:t xml:space="preserve"> systematic review. </w:t>
      </w:r>
      <w:r w:rsidRPr="005C3CE4">
        <w:rPr>
          <w:i/>
          <w:iCs/>
        </w:rPr>
        <w:t>International Review of Sport and Exercise Psychology</w:t>
      </w:r>
      <w:r w:rsidRPr="005C3CE4">
        <w:t xml:space="preserve">, </w:t>
      </w:r>
      <w:r w:rsidRPr="005C3CE4">
        <w:rPr>
          <w:i/>
          <w:iCs/>
        </w:rPr>
        <w:t>13</w:t>
      </w:r>
      <w:r w:rsidRPr="005C3CE4">
        <w:t xml:space="preserve">(1), 319–352. </w:t>
      </w:r>
      <w:hyperlink r:id="rId25">
        <w:r w:rsidRPr="005C3CE4">
          <w:rPr>
            <w:rStyle w:val="Hyperlink"/>
          </w:rPr>
          <w:t>https://doi.org/10.1080/1750984X.2020.1723122</w:t>
        </w:r>
      </w:hyperlink>
    </w:p>
    <w:p w14:paraId="20C05E4D" w14:textId="77777777" w:rsidR="007C7128" w:rsidRPr="005C3CE4" w:rsidRDefault="00CC0969">
      <w:pPr>
        <w:pStyle w:val="Bibliography"/>
      </w:pPr>
      <w:bookmarkStart w:id="37" w:name="ref-Peracchia18"/>
      <w:bookmarkEnd w:id="36"/>
      <w:proofErr w:type="spellStart"/>
      <w:r w:rsidRPr="005C3CE4">
        <w:t>Peracchia</w:t>
      </w:r>
      <w:proofErr w:type="spellEnd"/>
      <w:r w:rsidRPr="005C3CE4">
        <w:t xml:space="preserve">, S., &amp; Curcio, G. (2018). Exposure to video games: effects on sleep and on post-sleep cognitive abilities. A systematic review of experimental evidences. </w:t>
      </w:r>
      <w:r w:rsidRPr="005C3CE4">
        <w:rPr>
          <w:i/>
          <w:iCs/>
        </w:rPr>
        <w:t>Sleep Science</w:t>
      </w:r>
      <w:r w:rsidRPr="005C3CE4">
        <w:t xml:space="preserve">, </w:t>
      </w:r>
      <w:r w:rsidRPr="005C3CE4">
        <w:rPr>
          <w:i/>
          <w:iCs/>
        </w:rPr>
        <w:t>11</w:t>
      </w:r>
      <w:r w:rsidRPr="005C3CE4">
        <w:t xml:space="preserve">(4), 302–314. </w:t>
      </w:r>
      <w:hyperlink r:id="rId26">
        <w:r w:rsidRPr="005C3CE4">
          <w:rPr>
            <w:rStyle w:val="Hyperlink"/>
          </w:rPr>
          <w:t>https://doi.org/10.5935/1984-0063.20180046</w:t>
        </w:r>
      </w:hyperlink>
    </w:p>
    <w:p w14:paraId="0EEE6C71" w14:textId="77777777" w:rsidR="007C7128" w:rsidRPr="005C3CE4" w:rsidRDefault="00CC0969">
      <w:pPr>
        <w:pStyle w:val="Bibliography"/>
      </w:pPr>
      <w:bookmarkStart w:id="38" w:name="ref-RCoreTeam21"/>
      <w:bookmarkEnd w:id="37"/>
      <w:r w:rsidRPr="005C3CE4">
        <w:t xml:space="preserve">R Core Team. (2021). </w:t>
      </w:r>
      <w:r w:rsidRPr="005C3CE4">
        <w:rPr>
          <w:i/>
          <w:iCs/>
        </w:rPr>
        <w:t>R: A language and environment for statistical computing</w:t>
      </w:r>
      <w:r w:rsidRPr="005C3CE4">
        <w:t xml:space="preserve"> [Manual]. </w:t>
      </w:r>
      <w:hyperlink r:id="rId27">
        <w:r w:rsidRPr="005C3CE4">
          <w:rPr>
            <w:rStyle w:val="Hyperlink"/>
          </w:rPr>
          <w:t>https://www.R-project.org/</w:t>
        </w:r>
      </w:hyperlink>
    </w:p>
    <w:p w14:paraId="6BC2F4ED" w14:textId="77777777" w:rsidR="007C7128" w:rsidRPr="005C3CE4" w:rsidRDefault="00CC0969">
      <w:pPr>
        <w:pStyle w:val="Bibliography"/>
      </w:pPr>
      <w:bookmarkStart w:id="39" w:name="ref-zotero-6862"/>
      <w:bookmarkEnd w:id="38"/>
      <w:r w:rsidRPr="005C3CE4">
        <w:rPr>
          <w:i/>
          <w:iCs/>
        </w:rPr>
        <w:t xml:space="preserve">Report on the development of Chinese </w:t>
      </w:r>
      <w:proofErr w:type="spellStart"/>
      <w:r w:rsidRPr="005C3CE4">
        <w:rPr>
          <w:i/>
          <w:iCs/>
        </w:rPr>
        <w:t>esport</w:t>
      </w:r>
      <w:proofErr w:type="spellEnd"/>
      <w:r w:rsidRPr="005C3CE4">
        <w:t xml:space="preserve">. (n.d.). Retrieved August 31, 2021, from </w:t>
      </w:r>
      <w:hyperlink r:id="rId28">
        <w:r w:rsidRPr="005C3CE4">
          <w:rPr>
            <w:rStyle w:val="Hyperlink"/>
          </w:rPr>
          <w:t>http://nxkc.com.cn/a/xinwen/jiuhetiyuzhuce/2021/0826/794.html</w:t>
        </w:r>
      </w:hyperlink>
    </w:p>
    <w:p w14:paraId="313B2C0C" w14:textId="77777777" w:rsidR="007C7128" w:rsidRPr="005C3CE4" w:rsidRDefault="00CC0969">
      <w:pPr>
        <w:pStyle w:val="Bibliography"/>
      </w:pPr>
      <w:bookmarkStart w:id="40" w:name="ref-Rhoden21"/>
      <w:bookmarkEnd w:id="39"/>
      <w:r w:rsidRPr="005C3CE4">
        <w:t xml:space="preserve">Rhoden, G., Nelson, H., </w:t>
      </w:r>
      <w:proofErr w:type="spellStart"/>
      <w:r w:rsidRPr="005C3CE4">
        <w:t>Valladao</w:t>
      </w:r>
      <w:proofErr w:type="spellEnd"/>
      <w:r w:rsidRPr="005C3CE4">
        <w:t xml:space="preserve">, S., &amp; Andre, T. (2021). Blood glucose levels in response to 1 hour of esports training: A pilot study. </w:t>
      </w:r>
      <w:r w:rsidRPr="005C3CE4">
        <w:rPr>
          <w:i/>
          <w:iCs/>
        </w:rPr>
        <w:t>International Journal of Esports</w:t>
      </w:r>
      <w:r w:rsidRPr="005C3CE4">
        <w:t xml:space="preserve">, </w:t>
      </w:r>
      <w:r w:rsidRPr="005C3CE4">
        <w:rPr>
          <w:i/>
          <w:iCs/>
        </w:rPr>
        <w:t>1</w:t>
      </w:r>
      <w:r w:rsidRPr="005C3CE4">
        <w:t xml:space="preserve">(1), Article 1. </w:t>
      </w:r>
      <w:hyperlink r:id="rId29">
        <w:r w:rsidRPr="005C3CE4">
          <w:rPr>
            <w:rStyle w:val="Hyperlink"/>
          </w:rPr>
          <w:t>https://www.ijesports.org/article/47/html</w:t>
        </w:r>
      </w:hyperlink>
    </w:p>
    <w:p w14:paraId="46159D41" w14:textId="18C213EF" w:rsidR="007C7128" w:rsidRPr="005C3CE4" w:rsidRDefault="00CC0969">
      <w:pPr>
        <w:pStyle w:val="Bibliography"/>
      </w:pPr>
      <w:bookmarkStart w:id="41" w:name="ref-Smith18"/>
      <w:bookmarkEnd w:id="40"/>
      <w:r w:rsidRPr="005C3CE4">
        <w:t xml:space="preserve">Smith, A. P. (2018). Cognitive fatigue and the well-being and academic attainment of university students. </w:t>
      </w:r>
      <w:r w:rsidRPr="005C3CE4">
        <w:rPr>
          <w:i/>
          <w:iCs/>
        </w:rPr>
        <w:t>Journal of Education, Society and Behavioral Science.</w:t>
      </w:r>
      <w:r w:rsidRPr="005C3CE4">
        <w:t xml:space="preserve"> </w:t>
      </w:r>
      <w:hyperlink r:id="rId30">
        <w:r w:rsidRPr="005C3CE4">
          <w:rPr>
            <w:rStyle w:val="Hyperlink"/>
          </w:rPr>
          <w:t>https://doi.org/10.9734/JESBS/2018/39529</w:t>
        </w:r>
      </w:hyperlink>
    </w:p>
    <w:p w14:paraId="6A764121" w14:textId="42EC2385" w:rsidR="007C7128" w:rsidRPr="005C3CE4" w:rsidRDefault="00CC0969">
      <w:pPr>
        <w:pStyle w:val="Bibliography"/>
      </w:pPr>
      <w:bookmarkStart w:id="42" w:name="ref-Stone07"/>
      <w:bookmarkEnd w:id="41"/>
      <w:r w:rsidRPr="005C3CE4">
        <w:lastRenderedPageBreak/>
        <w:t>Stone, A. A., &amp; Broderick, J. E. (2007). Real-</w:t>
      </w:r>
      <w:r w:rsidR="00696D7A">
        <w:t>t</w:t>
      </w:r>
      <w:r w:rsidRPr="005C3CE4">
        <w:t xml:space="preserve">ime </w:t>
      </w:r>
      <w:r w:rsidR="00696D7A">
        <w:t>d</w:t>
      </w:r>
      <w:r w:rsidRPr="005C3CE4">
        <w:t xml:space="preserve">ata </w:t>
      </w:r>
      <w:r w:rsidR="00696D7A">
        <w:t>c</w:t>
      </w:r>
      <w:r w:rsidRPr="005C3CE4">
        <w:t xml:space="preserve">ollection for </w:t>
      </w:r>
      <w:r w:rsidR="00696D7A">
        <w:t>p</w:t>
      </w:r>
      <w:r w:rsidRPr="005C3CE4">
        <w:t xml:space="preserve">ain: Appraisal and </w:t>
      </w:r>
      <w:r w:rsidR="00D46F71">
        <w:t>c</w:t>
      </w:r>
      <w:r w:rsidRPr="005C3CE4">
        <w:t xml:space="preserve">urrent </w:t>
      </w:r>
      <w:r w:rsidR="00D46F71">
        <w:t>s</w:t>
      </w:r>
      <w:r w:rsidRPr="005C3CE4">
        <w:t xml:space="preserve">tatus. </w:t>
      </w:r>
      <w:r w:rsidRPr="005C3CE4">
        <w:rPr>
          <w:i/>
          <w:iCs/>
        </w:rPr>
        <w:t>Pain Medicine</w:t>
      </w:r>
      <w:r w:rsidRPr="005C3CE4">
        <w:t xml:space="preserve">, </w:t>
      </w:r>
      <w:r w:rsidRPr="005C3CE4">
        <w:rPr>
          <w:i/>
          <w:iCs/>
        </w:rPr>
        <w:t>8</w:t>
      </w:r>
      <w:r w:rsidRPr="005C3CE4">
        <w:t xml:space="preserve">(s3), S85–S93. </w:t>
      </w:r>
      <w:hyperlink r:id="rId31">
        <w:r w:rsidRPr="005C3CE4">
          <w:rPr>
            <w:rStyle w:val="Hyperlink"/>
          </w:rPr>
          <w:t>https://doi.org/10.1111/j.1526-4637.2007.00372.x</w:t>
        </w:r>
      </w:hyperlink>
    </w:p>
    <w:p w14:paraId="7EA8B8FA" w14:textId="77777777" w:rsidR="007C7128" w:rsidRDefault="00CC0969">
      <w:pPr>
        <w:pStyle w:val="Bibliography"/>
      </w:pPr>
      <w:bookmarkStart w:id="43" w:name="ref-Zhao21a"/>
      <w:bookmarkEnd w:id="42"/>
      <w:r w:rsidRPr="005C3CE4">
        <w:t xml:space="preserve">Zhao, Y., &amp; Lin, Z. (2021). Umbrella platform of Tencent eSports industry in China. </w:t>
      </w:r>
      <w:r w:rsidRPr="005C3CE4">
        <w:rPr>
          <w:i/>
          <w:iCs/>
        </w:rPr>
        <w:t>Journal of Cultural Economy</w:t>
      </w:r>
      <w:r w:rsidRPr="005C3CE4">
        <w:t xml:space="preserve">, </w:t>
      </w:r>
      <w:r w:rsidRPr="005C3CE4">
        <w:rPr>
          <w:i/>
          <w:iCs/>
        </w:rPr>
        <w:t>14</w:t>
      </w:r>
      <w:r w:rsidRPr="005C3CE4">
        <w:t xml:space="preserve">(1), 9–25. </w:t>
      </w:r>
      <w:hyperlink r:id="rId32">
        <w:r w:rsidRPr="005C3CE4">
          <w:rPr>
            <w:rStyle w:val="Hyperlink"/>
          </w:rPr>
          <w:t>https://doi.org/10.1080/17530350.2020.1788625</w:t>
        </w:r>
      </w:hyperlink>
      <w:bookmarkEnd w:id="16"/>
      <w:bookmarkEnd w:id="18"/>
      <w:bookmarkEnd w:id="19"/>
      <w:bookmarkEnd w:id="43"/>
    </w:p>
    <w:sectPr w:rsidR="007C7128" w:rsidSect="00BA7923">
      <w:headerReference w:type="even" r:id="rId33"/>
      <w:headerReference w:type="default" r:id="rId34"/>
      <w:headerReference w:type="first" r:id="rId35"/>
      <w:pgSz w:w="12240" w:h="15840"/>
      <w:pgMar w:top="1417" w:right="1417" w:bottom="1134"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FE36" w14:textId="77777777" w:rsidR="00E2212D" w:rsidRDefault="00E2212D">
      <w:pPr>
        <w:spacing w:before="0" w:after="0" w:line="240" w:lineRule="auto"/>
      </w:pPr>
      <w:r>
        <w:separator/>
      </w:r>
    </w:p>
  </w:endnote>
  <w:endnote w:type="continuationSeparator" w:id="0">
    <w:p w14:paraId="26BD0FA2" w14:textId="77777777" w:rsidR="00E2212D" w:rsidRDefault="00E221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Headings CS)">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1CCEC" w14:textId="77777777" w:rsidR="00E2212D" w:rsidRDefault="00E2212D">
      <w:r>
        <w:separator/>
      </w:r>
    </w:p>
  </w:footnote>
  <w:footnote w:type="continuationSeparator" w:id="0">
    <w:p w14:paraId="1B85A08E" w14:textId="77777777" w:rsidR="00E2212D" w:rsidRDefault="00E221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9259971"/>
      <w:docPartObj>
        <w:docPartGallery w:val="Page Numbers (Top of Page)"/>
        <w:docPartUnique/>
      </w:docPartObj>
    </w:sdtPr>
    <w:sdtEndPr>
      <w:rPr>
        <w:rStyle w:val="PageNumber"/>
      </w:rPr>
    </w:sdtEndPr>
    <w:sdtContent>
      <w:p w14:paraId="0412E2F2" w14:textId="77777777" w:rsidR="0020230A" w:rsidRDefault="0020230A" w:rsidP="00BA79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991F66" w14:textId="77777777" w:rsidR="0020230A" w:rsidRDefault="0020230A" w:rsidP="00BA792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2177194"/>
      <w:docPartObj>
        <w:docPartGallery w:val="Page Numbers (Top of Page)"/>
        <w:docPartUnique/>
      </w:docPartObj>
    </w:sdtPr>
    <w:sdtEndPr>
      <w:rPr>
        <w:rStyle w:val="PageNumber"/>
      </w:rPr>
    </w:sdtEndPr>
    <w:sdtContent>
      <w:p w14:paraId="05E561F3" w14:textId="77777777" w:rsidR="0020230A" w:rsidRDefault="0020230A" w:rsidP="00BA79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BEB4878" w14:textId="09EA6103" w:rsidR="0020230A" w:rsidRPr="00A05772" w:rsidRDefault="0020230A" w:rsidP="00BA7923">
    <w:pPr>
      <w:pStyle w:val="Header"/>
      <w:ind w:right="357"/>
    </w:pPr>
    <w:r>
      <w:t>EP AND MF</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9921216"/>
      <w:docPartObj>
        <w:docPartGallery w:val="Page Numbers (Top of Page)"/>
        <w:docPartUnique/>
      </w:docPartObj>
    </w:sdtPr>
    <w:sdtEndPr>
      <w:rPr>
        <w:rStyle w:val="PageNumber"/>
      </w:rPr>
    </w:sdtEndPr>
    <w:sdtContent>
      <w:p w14:paraId="13815E17" w14:textId="77777777" w:rsidR="0020230A" w:rsidRDefault="0020230A" w:rsidP="00BA792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4FC73B" w14:textId="7F996AEB" w:rsidR="0020230A" w:rsidRPr="00A05772" w:rsidRDefault="0020230A" w:rsidP="00B40292">
    <w:pPr>
      <w:pStyle w:val="Header"/>
      <w:ind w:right="360"/>
    </w:pPr>
    <w:r>
      <w:t>Running head: EP AND MF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9E9C40B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FFFFFF7C"/>
    <w:multiLevelType w:val="singleLevel"/>
    <w:tmpl w:val="EC6A2D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C6213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2BAE3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4507FF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4C896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6B486D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282EB3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B8633C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D1AAEE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85DB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A990"/>
    <w:multiLevelType w:val="multilevel"/>
    <w:tmpl w:val="A0F2DCE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2" w15:restartNumberingAfterBreak="0">
    <w:nsid w:val="011D7652"/>
    <w:multiLevelType w:val="multilevel"/>
    <w:tmpl w:val="18C6E3EE"/>
    <w:styleLink w:val="CurrentList10"/>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360" w:firstLine="720"/>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03587ABB"/>
    <w:multiLevelType w:val="multilevel"/>
    <w:tmpl w:val="9C7A61D0"/>
    <w:styleLink w:val="CurrentList2"/>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3E0686E"/>
    <w:multiLevelType w:val="multilevel"/>
    <w:tmpl w:val="D61800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511DD3"/>
    <w:multiLevelType w:val="multilevel"/>
    <w:tmpl w:val="68865C44"/>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45D580E"/>
    <w:multiLevelType w:val="multilevel"/>
    <w:tmpl w:val="520E6A9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0CD2DE"/>
    <w:multiLevelType w:val="multilevel"/>
    <w:tmpl w:val="9FD2E3F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8" w15:restartNumberingAfterBreak="0">
    <w:nsid w:val="1C7B4C6F"/>
    <w:multiLevelType w:val="multilevel"/>
    <w:tmpl w:val="D46CE1B2"/>
    <w:styleLink w:val="CurrentList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A80824"/>
    <w:multiLevelType w:val="multilevel"/>
    <w:tmpl w:val="CF5EDF52"/>
    <w:styleLink w:val="CurrentList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C1AE401"/>
    <w:multiLevelType w:val="multilevel"/>
    <w:tmpl w:val="63C869C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1" w15:restartNumberingAfterBreak="0">
    <w:nsid w:val="47390F9B"/>
    <w:multiLevelType w:val="multilevel"/>
    <w:tmpl w:val="13363A82"/>
    <w:styleLink w:val="CurrentList1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0" w:firstLine="1080"/>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48D009EE"/>
    <w:multiLevelType w:val="multilevel"/>
    <w:tmpl w:val="A68AA014"/>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14222C"/>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E77D3C"/>
    <w:multiLevelType w:val="multilevel"/>
    <w:tmpl w:val="F6B07B3C"/>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E174C5"/>
    <w:multiLevelType w:val="multilevel"/>
    <w:tmpl w:val="D57A68B4"/>
    <w:styleLink w:val="CurrentList1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0" w:firstLine="1080"/>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6A714006"/>
    <w:multiLevelType w:val="multilevel"/>
    <w:tmpl w:val="D57A68B4"/>
    <w:styleLink w:val="CurrentList13"/>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0" w:firstLine="1080"/>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7" w15:restartNumberingAfterBreak="0">
    <w:nsid w:val="6E0A41D6"/>
    <w:multiLevelType w:val="multilevel"/>
    <w:tmpl w:val="D57A68B4"/>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0" w:firstLine="1080"/>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8" w15:restartNumberingAfterBreak="0">
    <w:nsid w:val="6EA9173B"/>
    <w:multiLevelType w:val="hybridMultilevel"/>
    <w:tmpl w:val="11C0672E"/>
    <w:lvl w:ilvl="0" w:tplc="75E0868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9" w15:restartNumberingAfterBreak="0">
    <w:nsid w:val="7801009B"/>
    <w:multiLevelType w:val="multilevel"/>
    <w:tmpl w:val="3D8A2988"/>
    <w:styleLink w:val="CurrentList3"/>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9562FD5"/>
    <w:multiLevelType w:val="multilevel"/>
    <w:tmpl w:val="2D4E796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7018322">
    <w:abstractNumId w:val="17"/>
  </w:num>
  <w:num w:numId="2" w16cid:durableId="313487833">
    <w:abstractNumId w:val="17"/>
  </w:num>
  <w:num w:numId="3" w16cid:durableId="1503010202">
    <w:abstractNumId w:val="20"/>
  </w:num>
  <w:num w:numId="4" w16cid:durableId="1439907876">
    <w:abstractNumId w:val="1"/>
  </w:num>
  <w:num w:numId="5" w16cid:durableId="505095190">
    <w:abstractNumId w:val="2"/>
  </w:num>
  <w:num w:numId="6" w16cid:durableId="1938250957">
    <w:abstractNumId w:val="3"/>
  </w:num>
  <w:num w:numId="7" w16cid:durableId="1144547182">
    <w:abstractNumId w:val="4"/>
  </w:num>
  <w:num w:numId="8" w16cid:durableId="74283425">
    <w:abstractNumId w:val="9"/>
  </w:num>
  <w:num w:numId="9" w16cid:durableId="170065957">
    <w:abstractNumId w:val="5"/>
  </w:num>
  <w:num w:numId="10" w16cid:durableId="102385667">
    <w:abstractNumId w:val="6"/>
  </w:num>
  <w:num w:numId="11" w16cid:durableId="467207563">
    <w:abstractNumId w:val="7"/>
  </w:num>
  <w:num w:numId="12" w16cid:durableId="159859629">
    <w:abstractNumId w:val="8"/>
  </w:num>
  <w:num w:numId="13" w16cid:durableId="225839713">
    <w:abstractNumId w:val="10"/>
  </w:num>
  <w:num w:numId="14" w16cid:durableId="1611627077">
    <w:abstractNumId w:val="20"/>
  </w:num>
  <w:num w:numId="15" w16cid:durableId="1209220937">
    <w:abstractNumId w:val="0"/>
  </w:num>
  <w:num w:numId="16" w16cid:durableId="1514223856">
    <w:abstractNumId w:val="0"/>
  </w:num>
  <w:num w:numId="17" w16cid:durableId="1329598548">
    <w:abstractNumId w:val="20"/>
  </w:num>
  <w:num w:numId="18" w16cid:durableId="1803425904">
    <w:abstractNumId w:val="0"/>
  </w:num>
  <w:num w:numId="19" w16cid:durableId="1528179673">
    <w:abstractNumId w:val="0"/>
  </w:num>
  <w:num w:numId="20" w16cid:durableId="974799562">
    <w:abstractNumId w:val="11"/>
  </w:num>
  <w:num w:numId="21" w16cid:durableId="2110657549">
    <w:abstractNumId w:val="28"/>
  </w:num>
  <w:num w:numId="22" w16cid:durableId="424346433">
    <w:abstractNumId w:val="30"/>
  </w:num>
  <w:num w:numId="23" w16cid:durableId="327292477">
    <w:abstractNumId w:val="16"/>
  </w:num>
  <w:num w:numId="24" w16cid:durableId="119349471">
    <w:abstractNumId w:val="13"/>
  </w:num>
  <w:num w:numId="25" w16cid:durableId="1161458290">
    <w:abstractNumId w:val="29"/>
  </w:num>
  <w:num w:numId="26" w16cid:durableId="32537421">
    <w:abstractNumId w:val="19"/>
  </w:num>
  <w:num w:numId="27" w16cid:durableId="1072971654">
    <w:abstractNumId w:val="24"/>
  </w:num>
  <w:num w:numId="28" w16cid:durableId="341011682">
    <w:abstractNumId w:val="15"/>
  </w:num>
  <w:num w:numId="29" w16cid:durableId="1763070293">
    <w:abstractNumId w:val="22"/>
  </w:num>
  <w:num w:numId="30" w16cid:durableId="1102915698">
    <w:abstractNumId w:val="14"/>
  </w:num>
  <w:num w:numId="31" w16cid:durableId="1784958122">
    <w:abstractNumId w:val="18"/>
  </w:num>
  <w:num w:numId="32" w16cid:durableId="287246760">
    <w:abstractNumId w:val="27"/>
  </w:num>
  <w:num w:numId="33" w16cid:durableId="1085767207">
    <w:abstractNumId w:val="23"/>
  </w:num>
  <w:num w:numId="34" w16cid:durableId="1982496290">
    <w:abstractNumId w:val="12"/>
  </w:num>
  <w:num w:numId="35" w16cid:durableId="905382456">
    <w:abstractNumId w:val="21"/>
  </w:num>
  <w:num w:numId="36" w16cid:durableId="501625872">
    <w:abstractNumId w:val="25"/>
  </w:num>
  <w:num w:numId="37" w16cid:durableId="817067372">
    <w:abstractNumId w:val="27"/>
  </w:num>
  <w:num w:numId="38" w16cid:durableId="14165100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28"/>
    <w:rsid w:val="00000975"/>
    <w:rsid w:val="00002DF5"/>
    <w:rsid w:val="00003F7E"/>
    <w:rsid w:val="000126F3"/>
    <w:rsid w:val="00013A56"/>
    <w:rsid w:val="00014353"/>
    <w:rsid w:val="00014429"/>
    <w:rsid w:val="00015CE0"/>
    <w:rsid w:val="00022FF4"/>
    <w:rsid w:val="0002476A"/>
    <w:rsid w:val="0002497C"/>
    <w:rsid w:val="0002654D"/>
    <w:rsid w:val="000274CE"/>
    <w:rsid w:val="0002780C"/>
    <w:rsid w:val="00030E97"/>
    <w:rsid w:val="00031627"/>
    <w:rsid w:val="0003317D"/>
    <w:rsid w:val="000341C2"/>
    <w:rsid w:val="0003431A"/>
    <w:rsid w:val="0003499E"/>
    <w:rsid w:val="00034E9A"/>
    <w:rsid w:val="00034F17"/>
    <w:rsid w:val="000355AC"/>
    <w:rsid w:val="00035A72"/>
    <w:rsid w:val="00035D72"/>
    <w:rsid w:val="000360BA"/>
    <w:rsid w:val="00037070"/>
    <w:rsid w:val="00037910"/>
    <w:rsid w:val="00037918"/>
    <w:rsid w:val="00037F18"/>
    <w:rsid w:val="00040426"/>
    <w:rsid w:val="00040887"/>
    <w:rsid w:val="00040DB8"/>
    <w:rsid w:val="000411CD"/>
    <w:rsid w:val="00050004"/>
    <w:rsid w:val="000526BB"/>
    <w:rsid w:val="00053A03"/>
    <w:rsid w:val="000553CD"/>
    <w:rsid w:val="00056237"/>
    <w:rsid w:val="00060444"/>
    <w:rsid w:val="00061C6F"/>
    <w:rsid w:val="0006255B"/>
    <w:rsid w:val="00062DF7"/>
    <w:rsid w:val="000636EB"/>
    <w:rsid w:val="000639A1"/>
    <w:rsid w:val="00064C97"/>
    <w:rsid w:val="00066CA6"/>
    <w:rsid w:val="000706AB"/>
    <w:rsid w:val="00070EBB"/>
    <w:rsid w:val="00070FA1"/>
    <w:rsid w:val="00073B1D"/>
    <w:rsid w:val="00080754"/>
    <w:rsid w:val="00081339"/>
    <w:rsid w:val="000829D5"/>
    <w:rsid w:val="00085C08"/>
    <w:rsid w:val="0008754D"/>
    <w:rsid w:val="00090D3A"/>
    <w:rsid w:val="00091E1E"/>
    <w:rsid w:val="00091F46"/>
    <w:rsid w:val="00093AEF"/>
    <w:rsid w:val="00093E67"/>
    <w:rsid w:val="00096572"/>
    <w:rsid w:val="000A2E33"/>
    <w:rsid w:val="000A382F"/>
    <w:rsid w:val="000A3CDF"/>
    <w:rsid w:val="000A51F8"/>
    <w:rsid w:val="000A6D67"/>
    <w:rsid w:val="000A6D96"/>
    <w:rsid w:val="000A7665"/>
    <w:rsid w:val="000A7C8A"/>
    <w:rsid w:val="000B011D"/>
    <w:rsid w:val="000B2A62"/>
    <w:rsid w:val="000B4F0C"/>
    <w:rsid w:val="000B5331"/>
    <w:rsid w:val="000B5779"/>
    <w:rsid w:val="000B5FDC"/>
    <w:rsid w:val="000B70BD"/>
    <w:rsid w:val="000B7279"/>
    <w:rsid w:val="000C0067"/>
    <w:rsid w:val="000C443C"/>
    <w:rsid w:val="000C6156"/>
    <w:rsid w:val="000D3238"/>
    <w:rsid w:val="000D5F62"/>
    <w:rsid w:val="000D6861"/>
    <w:rsid w:val="000D6C29"/>
    <w:rsid w:val="000D77BD"/>
    <w:rsid w:val="000E21EC"/>
    <w:rsid w:val="000E27B8"/>
    <w:rsid w:val="000E3218"/>
    <w:rsid w:val="000E3314"/>
    <w:rsid w:val="000E3862"/>
    <w:rsid w:val="000E52CD"/>
    <w:rsid w:val="000E68F0"/>
    <w:rsid w:val="000E6FBB"/>
    <w:rsid w:val="000F3C99"/>
    <w:rsid w:val="000F465E"/>
    <w:rsid w:val="000F4B48"/>
    <w:rsid w:val="000F4E48"/>
    <w:rsid w:val="000F6BFB"/>
    <w:rsid w:val="000F6F06"/>
    <w:rsid w:val="000F7C10"/>
    <w:rsid w:val="00100389"/>
    <w:rsid w:val="00103003"/>
    <w:rsid w:val="00104146"/>
    <w:rsid w:val="0010499C"/>
    <w:rsid w:val="00104DD3"/>
    <w:rsid w:val="00106596"/>
    <w:rsid w:val="0010661D"/>
    <w:rsid w:val="001118D4"/>
    <w:rsid w:val="00112EAC"/>
    <w:rsid w:val="0011388E"/>
    <w:rsid w:val="00116CE5"/>
    <w:rsid w:val="00121FEA"/>
    <w:rsid w:val="00124C22"/>
    <w:rsid w:val="00125405"/>
    <w:rsid w:val="00125519"/>
    <w:rsid w:val="00127769"/>
    <w:rsid w:val="001311CE"/>
    <w:rsid w:val="00132270"/>
    <w:rsid w:val="00132C01"/>
    <w:rsid w:val="001339E3"/>
    <w:rsid w:val="00134C01"/>
    <w:rsid w:val="00135194"/>
    <w:rsid w:val="00135B1E"/>
    <w:rsid w:val="001364EA"/>
    <w:rsid w:val="00137527"/>
    <w:rsid w:val="0014055B"/>
    <w:rsid w:val="00141312"/>
    <w:rsid w:val="00141E7D"/>
    <w:rsid w:val="001430B9"/>
    <w:rsid w:val="001431EA"/>
    <w:rsid w:val="00143423"/>
    <w:rsid w:val="00143627"/>
    <w:rsid w:val="001448FB"/>
    <w:rsid w:val="00144D2A"/>
    <w:rsid w:val="001456F4"/>
    <w:rsid w:val="00151D57"/>
    <w:rsid w:val="00151F70"/>
    <w:rsid w:val="0015434A"/>
    <w:rsid w:val="00154900"/>
    <w:rsid w:val="00154E3E"/>
    <w:rsid w:val="00155679"/>
    <w:rsid w:val="0015635C"/>
    <w:rsid w:val="00157E26"/>
    <w:rsid w:val="001627CD"/>
    <w:rsid w:val="00164424"/>
    <w:rsid w:val="001649E5"/>
    <w:rsid w:val="001655A4"/>
    <w:rsid w:val="001659D4"/>
    <w:rsid w:val="001663D5"/>
    <w:rsid w:val="00170CF6"/>
    <w:rsid w:val="00171D05"/>
    <w:rsid w:val="00171EA0"/>
    <w:rsid w:val="0017285C"/>
    <w:rsid w:val="00173190"/>
    <w:rsid w:val="001731BE"/>
    <w:rsid w:val="00174333"/>
    <w:rsid w:val="00175A48"/>
    <w:rsid w:val="00176507"/>
    <w:rsid w:val="00176557"/>
    <w:rsid w:val="00177D74"/>
    <w:rsid w:val="00177EB0"/>
    <w:rsid w:val="001805EE"/>
    <w:rsid w:val="00180FBB"/>
    <w:rsid w:val="00182C53"/>
    <w:rsid w:val="001835AE"/>
    <w:rsid w:val="0018473C"/>
    <w:rsid w:val="001866C0"/>
    <w:rsid w:val="0018762C"/>
    <w:rsid w:val="00192211"/>
    <w:rsid w:val="00193B3D"/>
    <w:rsid w:val="0019608F"/>
    <w:rsid w:val="001961F0"/>
    <w:rsid w:val="00196993"/>
    <w:rsid w:val="00196B03"/>
    <w:rsid w:val="00197CE9"/>
    <w:rsid w:val="001A00BD"/>
    <w:rsid w:val="001A012E"/>
    <w:rsid w:val="001A0C43"/>
    <w:rsid w:val="001A107F"/>
    <w:rsid w:val="001A12A2"/>
    <w:rsid w:val="001A1431"/>
    <w:rsid w:val="001A5BFC"/>
    <w:rsid w:val="001A638D"/>
    <w:rsid w:val="001A7E57"/>
    <w:rsid w:val="001B051D"/>
    <w:rsid w:val="001B0EB3"/>
    <w:rsid w:val="001B20A2"/>
    <w:rsid w:val="001B27B0"/>
    <w:rsid w:val="001B2E7A"/>
    <w:rsid w:val="001B390D"/>
    <w:rsid w:val="001B3F98"/>
    <w:rsid w:val="001B4BA4"/>
    <w:rsid w:val="001B5112"/>
    <w:rsid w:val="001B57AC"/>
    <w:rsid w:val="001B58AA"/>
    <w:rsid w:val="001B619F"/>
    <w:rsid w:val="001B6A78"/>
    <w:rsid w:val="001B6BB8"/>
    <w:rsid w:val="001C166D"/>
    <w:rsid w:val="001C1B88"/>
    <w:rsid w:val="001C2DE8"/>
    <w:rsid w:val="001C3EFF"/>
    <w:rsid w:val="001C5259"/>
    <w:rsid w:val="001C70D6"/>
    <w:rsid w:val="001C73A5"/>
    <w:rsid w:val="001C7C60"/>
    <w:rsid w:val="001D0E47"/>
    <w:rsid w:val="001D1116"/>
    <w:rsid w:val="001D1741"/>
    <w:rsid w:val="001D1D24"/>
    <w:rsid w:val="001D3A2B"/>
    <w:rsid w:val="001D3A8E"/>
    <w:rsid w:val="001D415C"/>
    <w:rsid w:val="001D47A4"/>
    <w:rsid w:val="001D4981"/>
    <w:rsid w:val="001D4BD4"/>
    <w:rsid w:val="001D58B8"/>
    <w:rsid w:val="001D5924"/>
    <w:rsid w:val="001D6B51"/>
    <w:rsid w:val="001D6C19"/>
    <w:rsid w:val="001D7C19"/>
    <w:rsid w:val="001E0910"/>
    <w:rsid w:val="001E3429"/>
    <w:rsid w:val="001E346A"/>
    <w:rsid w:val="001E4F5F"/>
    <w:rsid w:val="001E4F62"/>
    <w:rsid w:val="001E7FB4"/>
    <w:rsid w:val="001F2E65"/>
    <w:rsid w:val="0020030D"/>
    <w:rsid w:val="00200497"/>
    <w:rsid w:val="00200C25"/>
    <w:rsid w:val="002011C4"/>
    <w:rsid w:val="0020230A"/>
    <w:rsid w:val="002029EA"/>
    <w:rsid w:val="00205E69"/>
    <w:rsid w:val="00210500"/>
    <w:rsid w:val="0021065B"/>
    <w:rsid w:val="00210BCF"/>
    <w:rsid w:val="00212D97"/>
    <w:rsid w:val="00212F90"/>
    <w:rsid w:val="002159EE"/>
    <w:rsid w:val="0021646C"/>
    <w:rsid w:val="002211FE"/>
    <w:rsid w:val="002228C3"/>
    <w:rsid w:val="00223F9A"/>
    <w:rsid w:val="0022434D"/>
    <w:rsid w:val="002260DC"/>
    <w:rsid w:val="00226F83"/>
    <w:rsid w:val="002303AD"/>
    <w:rsid w:val="00230605"/>
    <w:rsid w:val="0023132C"/>
    <w:rsid w:val="00235DB4"/>
    <w:rsid w:val="00236FB8"/>
    <w:rsid w:val="00237C65"/>
    <w:rsid w:val="002421DA"/>
    <w:rsid w:val="00242DAD"/>
    <w:rsid w:val="002434DF"/>
    <w:rsid w:val="00244153"/>
    <w:rsid w:val="002444BD"/>
    <w:rsid w:val="00244CDD"/>
    <w:rsid w:val="00245DE9"/>
    <w:rsid w:val="002510F6"/>
    <w:rsid w:val="00253891"/>
    <w:rsid w:val="00253D10"/>
    <w:rsid w:val="00255C4E"/>
    <w:rsid w:val="00257199"/>
    <w:rsid w:val="002607CD"/>
    <w:rsid w:val="00260FA6"/>
    <w:rsid w:val="00261229"/>
    <w:rsid w:val="00261429"/>
    <w:rsid w:val="00262004"/>
    <w:rsid w:val="002653AC"/>
    <w:rsid w:val="00266031"/>
    <w:rsid w:val="002725D2"/>
    <w:rsid w:val="00272D72"/>
    <w:rsid w:val="00274421"/>
    <w:rsid w:val="00276290"/>
    <w:rsid w:val="00276420"/>
    <w:rsid w:val="00276F2E"/>
    <w:rsid w:val="002779AA"/>
    <w:rsid w:val="0028097B"/>
    <w:rsid w:val="00280D48"/>
    <w:rsid w:val="00282356"/>
    <w:rsid w:val="00286619"/>
    <w:rsid w:val="0028777D"/>
    <w:rsid w:val="00290336"/>
    <w:rsid w:val="00290590"/>
    <w:rsid w:val="00290E26"/>
    <w:rsid w:val="0029115F"/>
    <w:rsid w:val="002950FF"/>
    <w:rsid w:val="002966BC"/>
    <w:rsid w:val="0029774B"/>
    <w:rsid w:val="002A1905"/>
    <w:rsid w:val="002A21BF"/>
    <w:rsid w:val="002A2BEF"/>
    <w:rsid w:val="002A35CF"/>
    <w:rsid w:val="002A35F4"/>
    <w:rsid w:val="002A5A6F"/>
    <w:rsid w:val="002A5B6E"/>
    <w:rsid w:val="002A5C45"/>
    <w:rsid w:val="002A5D54"/>
    <w:rsid w:val="002A62F0"/>
    <w:rsid w:val="002A6778"/>
    <w:rsid w:val="002A6F66"/>
    <w:rsid w:val="002A7DD7"/>
    <w:rsid w:val="002B0213"/>
    <w:rsid w:val="002B6AB5"/>
    <w:rsid w:val="002B75C1"/>
    <w:rsid w:val="002C02EE"/>
    <w:rsid w:val="002C17FA"/>
    <w:rsid w:val="002C1C40"/>
    <w:rsid w:val="002C2600"/>
    <w:rsid w:val="002C2CDC"/>
    <w:rsid w:val="002C32E7"/>
    <w:rsid w:val="002C484E"/>
    <w:rsid w:val="002C498C"/>
    <w:rsid w:val="002C4A54"/>
    <w:rsid w:val="002C4BB9"/>
    <w:rsid w:val="002C4E58"/>
    <w:rsid w:val="002C52EC"/>
    <w:rsid w:val="002C6ECF"/>
    <w:rsid w:val="002C77DF"/>
    <w:rsid w:val="002C7892"/>
    <w:rsid w:val="002C7927"/>
    <w:rsid w:val="002C7FA9"/>
    <w:rsid w:val="002D1D2C"/>
    <w:rsid w:val="002D263F"/>
    <w:rsid w:val="002D2EB8"/>
    <w:rsid w:val="002D3927"/>
    <w:rsid w:val="002D5302"/>
    <w:rsid w:val="002E0895"/>
    <w:rsid w:val="002E1D75"/>
    <w:rsid w:val="002E1DAF"/>
    <w:rsid w:val="002E52A1"/>
    <w:rsid w:val="002E6CB4"/>
    <w:rsid w:val="002E78BF"/>
    <w:rsid w:val="002F3157"/>
    <w:rsid w:val="002F384F"/>
    <w:rsid w:val="002F4125"/>
    <w:rsid w:val="002F43CF"/>
    <w:rsid w:val="002F4AEF"/>
    <w:rsid w:val="002F7695"/>
    <w:rsid w:val="00300E69"/>
    <w:rsid w:val="0030122E"/>
    <w:rsid w:val="003014EB"/>
    <w:rsid w:val="00301532"/>
    <w:rsid w:val="00302AB6"/>
    <w:rsid w:val="0030524D"/>
    <w:rsid w:val="003054CA"/>
    <w:rsid w:val="00307322"/>
    <w:rsid w:val="00310C67"/>
    <w:rsid w:val="0031222B"/>
    <w:rsid w:val="00312831"/>
    <w:rsid w:val="003140BB"/>
    <w:rsid w:val="00314B7E"/>
    <w:rsid w:val="00314E50"/>
    <w:rsid w:val="0031598C"/>
    <w:rsid w:val="00315FC7"/>
    <w:rsid w:val="00321F6D"/>
    <w:rsid w:val="00322DD3"/>
    <w:rsid w:val="00322E4D"/>
    <w:rsid w:val="003233B7"/>
    <w:rsid w:val="00323887"/>
    <w:rsid w:val="00324498"/>
    <w:rsid w:val="00325C9A"/>
    <w:rsid w:val="00331097"/>
    <w:rsid w:val="00332219"/>
    <w:rsid w:val="00332F2A"/>
    <w:rsid w:val="00334A1C"/>
    <w:rsid w:val="0033609A"/>
    <w:rsid w:val="003400A3"/>
    <w:rsid w:val="003414CE"/>
    <w:rsid w:val="00341B37"/>
    <w:rsid w:val="00342936"/>
    <w:rsid w:val="0034318E"/>
    <w:rsid w:val="00343B1A"/>
    <w:rsid w:val="00344B27"/>
    <w:rsid w:val="00345033"/>
    <w:rsid w:val="0034796B"/>
    <w:rsid w:val="00350D44"/>
    <w:rsid w:val="00351170"/>
    <w:rsid w:val="003538E2"/>
    <w:rsid w:val="00355F16"/>
    <w:rsid w:val="0035758D"/>
    <w:rsid w:val="0035797C"/>
    <w:rsid w:val="00361FCA"/>
    <w:rsid w:val="003642CC"/>
    <w:rsid w:val="00364896"/>
    <w:rsid w:val="00364898"/>
    <w:rsid w:val="00366454"/>
    <w:rsid w:val="00366F0F"/>
    <w:rsid w:val="00367D4C"/>
    <w:rsid w:val="00371632"/>
    <w:rsid w:val="00373879"/>
    <w:rsid w:val="0037715C"/>
    <w:rsid w:val="00377ABD"/>
    <w:rsid w:val="003803C0"/>
    <w:rsid w:val="00381318"/>
    <w:rsid w:val="00382590"/>
    <w:rsid w:val="0038352E"/>
    <w:rsid w:val="00384296"/>
    <w:rsid w:val="00384B51"/>
    <w:rsid w:val="0038700A"/>
    <w:rsid w:val="0038784A"/>
    <w:rsid w:val="00390981"/>
    <w:rsid w:val="0039197C"/>
    <w:rsid w:val="003935B8"/>
    <w:rsid w:val="0039378F"/>
    <w:rsid w:val="00393920"/>
    <w:rsid w:val="00393B5D"/>
    <w:rsid w:val="0039476F"/>
    <w:rsid w:val="0039579E"/>
    <w:rsid w:val="00397032"/>
    <w:rsid w:val="00397F8D"/>
    <w:rsid w:val="003A0D5F"/>
    <w:rsid w:val="003A1729"/>
    <w:rsid w:val="003A2899"/>
    <w:rsid w:val="003A388B"/>
    <w:rsid w:val="003A724D"/>
    <w:rsid w:val="003A74A6"/>
    <w:rsid w:val="003A7E1F"/>
    <w:rsid w:val="003B0689"/>
    <w:rsid w:val="003B0C0B"/>
    <w:rsid w:val="003B0F4B"/>
    <w:rsid w:val="003B1223"/>
    <w:rsid w:val="003B312A"/>
    <w:rsid w:val="003B4D90"/>
    <w:rsid w:val="003B7449"/>
    <w:rsid w:val="003C128E"/>
    <w:rsid w:val="003C1D33"/>
    <w:rsid w:val="003C24AF"/>
    <w:rsid w:val="003C28D5"/>
    <w:rsid w:val="003C2EA2"/>
    <w:rsid w:val="003C3C6B"/>
    <w:rsid w:val="003C4187"/>
    <w:rsid w:val="003C4EB8"/>
    <w:rsid w:val="003C629E"/>
    <w:rsid w:val="003D04B8"/>
    <w:rsid w:val="003D0D5A"/>
    <w:rsid w:val="003D3351"/>
    <w:rsid w:val="003D3408"/>
    <w:rsid w:val="003D34FC"/>
    <w:rsid w:val="003D5B40"/>
    <w:rsid w:val="003D6104"/>
    <w:rsid w:val="003D67C1"/>
    <w:rsid w:val="003D68E6"/>
    <w:rsid w:val="003D79EF"/>
    <w:rsid w:val="003E13E3"/>
    <w:rsid w:val="003E1806"/>
    <w:rsid w:val="003E2BBC"/>
    <w:rsid w:val="003E2BC6"/>
    <w:rsid w:val="003E37C1"/>
    <w:rsid w:val="003E4A5D"/>
    <w:rsid w:val="003E7586"/>
    <w:rsid w:val="003E7E37"/>
    <w:rsid w:val="003F07CD"/>
    <w:rsid w:val="003F0806"/>
    <w:rsid w:val="003F0F1A"/>
    <w:rsid w:val="003F120D"/>
    <w:rsid w:val="003F1F7B"/>
    <w:rsid w:val="003F3356"/>
    <w:rsid w:val="003F3BE4"/>
    <w:rsid w:val="003F3E09"/>
    <w:rsid w:val="00401685"/>
    <w:rsid w:val="0040200D"/>
    <w:rsid w:val="0040418A"/>
    <w:rsid w:val="00404206"/>
    <w:rsid w:val="00404F9E"/>
    <w:rsid w:val="00406CA8"/>
    <w:rsid w:val="00410FD9"/>
    <w:rsid w:val="0041107D"/>
    <w:rsid w:val="00412B29"/>
    <w:rsid w:val="00412FCE"/>
    <w:rsid w:val="0041379E"/>
    <w:rsid w:val="004140BF"/>
    <w:rsid w:val="004159B0"/>
    <w:rsid w:val="0041766E"/>
    <w:rsid w:val="0042051C"/>
    <w:rsid w:val="004258A3"/>
    <w:rsid w:val="00425F62"/>
    <w:rsid w:val="0042686E"/>
    <w:rsid w:val="0043162D"/>
    <w:rsid w:val="00440160"/>
    <w:rsid w:val="00441D36"/>
    <w:rsid w:val="00442B78"/>
    <w:rsid w:val="00444910"/>
    <w:rsid w:val="00445B51"/>
    <w:rsid w:val="00447024"/>
    <w:rsid w:val="004477A9"/>
    <w:rsid w:val="004509F9"/>
    <w:rsid w:val="00451DB4"/>
    <w:rsid w:val="004527FC"/>
    <w:rsid w:val="00453ABC"/>
    <w:rsid w:val="004545B6"/>
    <w:rsid w:val="00454B4C"/>
    <w:rsid w:val="00456902"/>
    <w:rsid w:val="0046050E"/>
    <w:rsid w:val="004612A0"/>
    <w:rsid w:val="00462650"/>
    <w:rsid w:val="0046304E"/>
    <w:rsid w:val="004669BE"/>
    <w:rsid w:val="00470452"/>
    <w:rsid w:val="00470470"/>
    <w:rsid w:val="004718F4"/>
    <w:rsid w:val="0047219E"/>
    <w:rsid w:val="00474A0C"/>
    <w:rsid w:val="00474AD6"/>
    <w:rsid w:val="004762FB"/>
    <w:rsid w:val="00476B0F"/>
    <w:rsid w:val="00476C3C"/>
    <w:rsid w:val="00477F89"/>
    <w:rsid w:val="0048065B"/>
    <w:rsid w:val="004821FA"/>
    <w:rsid w:val="00482E8A"/>
    <w:rsid w:val="00484B1E"/>
    <w:rsid w:val="004856B1"/>
    <w:rsid w:val="00490A37"/>
    <w:rsid w:val="00493EA4"/>
    <w:rsid w:val="00497CFD"/>
    <w:rsid w:val="004A07BC"/>
    <w:rsid w:val="004A0C09"/>
    <w:rsid w:val="004A2A3C"/>
    <w:rsid w:val="004A4F56"/>
    <w:rsid w:val="004A59F9"/>
    <w:rsid w:val="004A61C6"/>
    <w:rsid w:val="004B3A62"/>
    <w:rsid w:val="004B3D5A"/>
    <w:rsid w:val="004B47CB"/>
    <w:rsid w:val="004B4835"/>
    <w:rsid w:val="004B4E42"/>
    <w:rsid w:val="004B5F4A"/>
    <w:rsid w:val="004B70BA"/>
    <w:rsid w:val="004C1BB6"/>
    <w:rsid w:val="004C2C9E"/>
    <w:rsid w:val="004C561D"/>
    <w:rsid w:val="004C708C"/>
    <w:rsid w:val="004D04DC"/>
    <w:rsid w:val="004D087E"/>
    <w:rsid w:val="004D0DE1"/>
    <w:rsid w:val="004D2FDA"/>
    <w:rsid w:val="004D620D"/>
    <w:rsid w:val="004D7103"/>
    <w:rsid w:val="004E071D"/>
    <w:rsid w:val="004E0CEC"/>
    <w:rsid w:val="004E2DC1"/>
    <w:rsid w:val="004E59A1"/>
    <w:rsid w:val="004E5ACB"/>
    <w:rsid w:val="004E616D"/>
    <w:rsid w:val="004E61B5"/>
    <w:rsid w:val="004E73F3"/>
    <w:rsid w:val="004E7505"/>
    <w:rsid w:val="004F0120"/>
    <w:rsid w:val="004F081D"/>
    <w:rsid w:val="004F2B3B"/>
    <w:rsid w:val="004F2F62"/>
    <w:rsid w:val="004F5702"/>
    <w:rsid w:val="004F5F04"/>
    <w:rsid w:val="004F7D85"/>
    <w:rsid w:val="00500BF5"/>
    <w:rsid w:val="00501F55"/>
    <w:rsid w:val="00503F6A"/>
    <w:rsid w:val="00504434"/>
    <w:rsid w:val="0050467A"/>
    <w:rsid w:val="0050538D"/>
    <w:rsid w:val="00506AD7"/>
    <w:rsid w:val="00507180"/>
    <w:rsid w:val="00511012"/>
    <w:rsid w:val="0051152C"/>
    <w:rsid w:val="0051167C"/>
    <w:rsid w:val="0051345F"/>
    <w:rsid w:val="0051658C"/>
    <w:rsid w:val="00517066"/>
    <w:rsid w:val="0052295F"/>
    <w:rsid w:val="00522CA5"/>
    <w:rsid w:val="00526548"/>
    <w:rsid w:val="0052732E"/>
    <w:rsid w:val="00527BA3"/>
    <w:rsid w:val="00530E06"/>
    <w:rsid w:val="00531901"/>
    <w:rsid w:val="00531E39"/>
    <w:rsid w:val="005334AF"/>
    <w:rsid w:val="00533CC4"/>
    <w:rsid w:val="0053591B"/>
    <w:rsid w:val="00535B32"/>
    <w:rsid w:val="005378C0"/>
    <w:rsid w:val="00540547"/>
    <w:rsid w:val="00540E4A"/>
    <w:rsid w:val="00541E0D"/>
    <w:rsid w:val="00544493"/>
    <w:rsid w:val="005501C0"/>
    <w:rsid w:val="00550693"/>
    <w:rsid w:val="00551502"/>
    <w:rsid w:val="00551F03"/>
    <w:rsid w:val="00553615"/>
    <w:rsid w:val="00555138"/>
    <w:rsid w:val="00557A21"/>
    <w:rsid w:val="00560618"/>
    <w:rsid w:val="00564A48"/>
    <w:rsid w:val="0056653B"/>
    <w:rsid w:val="00567D13"/>
    <w:rsid w:val="00570B44"/>
    <w:rsid w:val="00571D0C"/>
    <w:rsid w:val="00573739"/>
    <w:rsid w:val="00574A46"/>
    <w:rsid w:val="00574F02"/>
    <w:rsid w:val="00576816"/>
    <w:rsid w:val="00577C00"/>
    <w:rsid w:val="0058030A"/>
    <w:rsid w:val="005804AA"/>
    <w:rsid w:val="00581ED6"/>
    <w:rsid w:val="00584317"/>
    <w:rsid w:val="00584963"/>
    <w:rsid w:val="005861B5"/>
    <w:rsid w:val="00586AF7"/>
    <w:rsid w:val="00587805"/>
    <w:rsid w:val="00591691"/>
    <w:rsid w:val="00595BF1"/>
    <w:rsid w:val="00596123"/>
    <w:rsid w:val="0059626C"/>
    <w:rsid w:val="0059670A"/>
    <w:rsid w:val="00596891"/>
    <w:rsid w:val="005969B1"/>
    <w:rsid w:val="005A1E6F"/>
    <w:rsid w:val="005A3101"/>
    <w:rsid w:val="005A620D"/>
    <w:rsid w:val="005A6D4E"/>
    <w:rsid w:val="005B25E7"/>
    <w:rsid w:val="005B3301"/>
    <w:rsid w:val="005B331A"/>
    <w:rsid w:val="005B4ACD"/>
    <w:rsid w:val="005B573E"/>
    <w:rsid w:val="005C0A3D"/>
    <w:rsid w:val="005C0E26"/>
    <w:rsid w:val="005C3CE4"/>
    <w:rsid w:val="005C4931"/>
    <w:rsid w:val="005D0485"/>
    <w:rsid w:val="005D09DE"/>
    <w:rsid w:val="005D0D8B"/>
    <w:rsid w:val="005D1D33"/>
    <w:rsid w:val="005D242C"/>
    <w:rsid w:val="005D2DDD"/>
    <w:rsid w:val="005D2E9E"/>
    <w:rsid w:val="005D392E"/>
    <w:rsid w:val="005D3CB6"/>
    <w:rsid w:val="005D4087"/>
    <w:rsid w:val="005D5CDC"/>
    <w:rsid w:val="005D76C2"/>
    <w:rsid w:val="005D79FC"/>
    <w:rsid w:val="005E0666"/>
    <w:rsid w:val="005E08D7"/>
    <w:rsid w:val="005E4C71"/>
    <w:rsid w:val="005E50E1"/>
    <w:rsid w:val="005E6949"/>
    <w:rsid w:val="005E7F92"/>
    <w:rsid w:val="005F0CD2"/>
    <w:rsid w:val="005F1FAD"/>
    <w:rsid w:val="005F2A7A"/>
    <w:rsid w:val="005F2EC3"/>
    <w:rsid w:val="005F3BC6"/>
    <w:rsid w:val="005F4C2C"/>
    <w:rsid w:val="005F7025"/>
    <w:rsid w:val="006039B1"/>
    <w:rsid w:val="00607820"/>
    <w:rsid w:val="0061591F"/>
    <w:rsid w:val="006167CE"/>
    <w:rsid w:val="00616DE7"/>
    <w:rsid w:val="00620112"/>
    <w:rsid w:val="00623E02"/>
    <w:rsid w:val="00626058"/>
    <w:rsid w:val="00626733"/>
    <w:rsid w:val="00627416"/>
    <w:rsid w:val="00627550"/>
    <w:rsid w:val="00627E3E"/>
    <w:rsid w:val="0063019D"/>
    <w:rsid w:val="00630363"/>
    <w:rsid w:val="0063048E"/>
    <w:rsid w:val="00630A61"/>
    <w:rsid w:val="006328F6"/>
    <w:rsid w:val="00632D1F"/>
    <w:rsid w:val="00632E4A"/>
    <w:rsid w:val="006406A7"/>
    <w:rsid w:val="00640EE7"/>
    <w:rsid w:val="00640F43"/>
    <w:rsid w:val="006411A9"/>
    <w:rsid w:val="00642070"/>
    <w:rsid w:val="00642DC8"/>
    <w:rsid w:val="00642E2B"/>
    <w:rsid w:val="00644B0B"/>
    <w:rsid w:val="006511AC"/>
    <w:rsid w:val="00653413"/>
    <w:rsid w:val="00654332"/>
    <w:rsid w:val="00660EE2"/>
    <w:rsid w:val="00661E6B"/>
    <w:rsid w:val="00662A30"/>
    <w:rsid w:val="00662C5E"/>
    <w:rsid w:val="00663C60"/>
    <w:rsid w:val="006641CC"/>
    <w:rsid w:val="0066491B"/>
    <w:rsid w:val="00670144"/>
    <w:rsid w:val="0067014F"/>
    <w:rsid w:val="00670342"/>
    <w:rsid w:val="00670626"/>
    <w:rsid w:val="0067264A"/>
    <w:rsid w:val="0067343B"/>
    <w:rsid w:val="00675A16"/>
    <w:rsid w:val="006811D5"/>
    <w:rsid w:val="00681347"/>
    <w:rsid w:val="00681BF1"/>
    <w:rsid w:val="0068393A"/>
    <w:rsid w:val="006871A1"/>
    <w:rsid w:val="00690741"/>
    <w:rsid w:val="006915A2"/>
    <w:rsid w:val="006931FF"/>
    <w:rsid w:val="0069472A"/>
    <w:rsid w:val="00695BD9"/>
    <w:rsid w:val="0069633F"/>
    <w:rsid w:val="00696D7A"/>
    <w:rsid w:val="00697260"/>
    <w:rsid w:val="006A4FB7"/>
    <w:rsid w:val="006A548B"/>
    <w:rsid w:val="006B08A5"/>
    <w:rsid w:val="006B0FC5"/>
    <w:rsid w:val="006B3929"/>
    <w:rsid w:val="006B4B4B"/>
    <w:rsid w:val="006B6416"/>
    <w:rsid w:val="006C0BE7"/>
    <w:rsid w:val="006C0CFB"/>
    <w:rsid w:val="006C25F7"/>
    <w:rsid w:val="006C3466"/>
    <w:rsid w:val="006C3E5B"/>
    <w:rsid w:val="006C48CA"/>
    <w:rsid w:val="006C5F14"/>
    <w:rsid w:val="006D3207"/>
    <w:rsid w:val="006D333B"/>
    <w:rsid w:val="006E2331"/>
    <w:rsid w:val="006E2632"/>
    <w:rsid w:val="006E27B2"/>
    <w:rsid w:val="006E5943"/>
    <w:rsid w:val="006E603E"/>
    <w:rsid w:val="006E677E"/>
    <w:rsid w:val="006F2B0C"/>
    <w:rsid w:val="006F2B2C"/>
    <w:rsid w:val="006F42E0"/>
    <w:rsid w:val="006F4A6F"/>
    <w:rsid w:val="006F4EAC"/>
    <w:rsid w:val="006F5B32"/>
    <w:rsid w:val="006F61B5"/>
    <w:rsid w:val="007038CE"/>
    <w:rsid w:val="00704F45"/>
    <w:rsid w:val="0071169A"/>
    <w:rsid w:val="00713B3E"/>
    <w:rsid w:val="0071448A"/>
    <w:rsid w:val="0071466F"/>
    <w:rsid w:val="007150AF"/>
    <w:rsid w:val="00715A46"/>
    <w:rsid w:val="00716B93"/>
    <w:rsid w:val="00716EC5"/>
    <w:rsid w:val="00716EF7"/>
    <w:rsid w:val="0071704F"/>
    <w:rsid w:val="0071763C"/>
    <w:rsid w:val="00722AB8"/>
    <w:rsid w:val="00725EB1"/>
    <w:rsid w:val="007273D3"/>
    <w:rsid w:val="007277B7"/>
    <w:rsid w:val="0073131F"/>
    <w:rsid w:val="007317BE"/>
    <w:rsid w:val="007318DE"/>
    <w:rsid w:val="00731CF8"/>
    <w:rsid w:val="00732CC3"/>
    <w:rsid w:val="007350A1"/>
    <w:rsid w:val="007353BE"/>
    <w:rsid w:val="007368A6"/>
    <w:rsid w:val="00737378"/>
    <w:rsid w:val="00741054"/>
    <w:rsid w:val="00741B52"/>
    <w:rsid w:val="00742827"/>
    <w:rsid w:val="007467D7"/>
    <w:rsid w:val="00747579"/>
    <w:rsid w:val="00752E10"/>
    <w:rsid w:val="00752F82"/>
    <w:rsid w:val="00754448"/>
    <w:rsid w:val="007563DE"/>
    <w:rsid w:val="00756E23"/>
    <w:rsid w:val="00760F3C"/>
    <w:rsid w:val="00763522"/>
    <w:rsid w:val="00764F20"/>
    <w:rsid w:val="00765081"/>
    <w:rsid w:val="00766A4D"/>
    <w:rsid w:val="00766E02"/>
    <w:rsid w:val="00770161"/>
    <w:rsid w:val="007722A7"/>
    <w:rsid w:val="00773143"/>
    <w:rsid w:val="00773E5C"/>
    <w:rsid w:val="0077627A"/>
    <w:rsid w:val="00777F08"/>
    <w:rsid w:val="00777FDA"/>
    <w:rsid w:val="00780B28"/>
    <w:rsid w:val="00780B94"/>
    <w:rsid w:val="00781B98"/>
    <w:rsid w:val="00782049"/>
    <w:rsid w:val="00783184"/>
    <w:rsid w:val="00783E76"/>
    <w:rsid w:val="00784BA4"/>
    <w:rsid w:val="007851DE"/>
    <w:rsid w:val="0078532C"/>
    <w:rsid w:val="00785AFA"/>
    <w:rsid w:val="00790079"/>
    <w:rsid w:val="00791412"/>
    <w:rsid w:val="00795BD5"/>
    <w:rsid w:val="00796697"/>
    <w:rsid w:val="007975FE"/>
    <w:rsid w:val="007A1057"/>
    <w:rsid w:val="007A15B5"/>
    <w:rsid w:val="007A2405"/>
    <w:rsid w:val="007A41FD"/>
    <w:rsid w:val="007A6007"/>
    <w:rsid w:val="007A740A"/>
    <w:rsid w:val="007A7F35"/>
    <w:rsid w:val="007B0770"/>
    <w:rsid w:val="007B6614"/>
    <w:rsid w:val="007B7FE4"/>
    <w:rsid w:val="007C030B"/>
    <w:rsid w:val="007C0CA4"/>
    <w:rsid w:val="007C0D4C"/>
    <w:rsid w:val="007C104D"/>
    <w:rsid w:val="007C2906"/>
    <w:rsid w:val="007C5320"/>
    <w:rsid w:val="007C6F16"/>
    <w:rsid w:val="007C70F7"/>
    <w:rsid w:val="007C7128"/>
    <w:rsid w:val="007D1118"/>
    <w:rsid w:val="007D4D10"/>
    <w:rsid w:val="007D5BD3"/>
    <w:rsid w:val="007D7785"/>
    <w:rsid w:val="007E1C47"/>
    <w:rsid w:val="007F2ECD"/>
    <w:rsid w:val="007F3779"/>
    <w:rsid w:val="007F3B19"/>
    <w:rsid w:val="007F3B85"/>
    <w:rsid w:val="007F3E69"/>
    <w:rsid w:val="007F48DE"/>
    <w:rsid w:val="007F6E96"/>
    <w:rsid w:val="007F76F8"/>
    <w:rsid w:val="0080236B"/>
    <w:rsid w:val="00805A79"/>
    <w:rsid w:val="00806517"/>
    <w:rsid w:val="00807616"/>
    <w:rsid w:val="008106BD"/>
    <w:rsid w:val="0081072D"/>
    <w:rsid w:val="00812324"/>
    <w:rsid w:val="00813520"/>
    <w:rsid w:val="0081380F"/>
    <w:rsid w:val="00813AFA"/>
    <w:rsid w:val="00817097"/>
    <w:rsid w:val="00817623"/>
    <w:rsid w:val="0082082C"/>
    <w:rsid w:val="00823F6C"/>
    <w:rsid w:val="00824FED"/>
    <w:rsid w:val="00825224"/>
    <w:rsid w:val="008256E3"/>
    <w:rsid w:val="00825D83"/>
    <w:rsid w:val="00826C5F"/>
    <w:rsid w:val="00827269"/>
    <w:rsid w:val="008273C0"/>
    <w:rsid w:val="00837107"/>
    <w:rsid w:val="00845056"/>
    <w:rsid w:val="00845C32"/>
    <w:rsid w:val="00847279"/>
    <w:rsid w:val="008479E1"/>
    <w:rsid w:val="00854A6D"/>
    <w:rsid w:val="00857DCB"/>
    <w:rsid w:val="008607DB"/>
    <w:rsid w:val="00862721"/>
    <w:rsid w:val="00863D6F"/>
    <w:rsid w:val="008640A6"/>
    <w:rsid w:val="008646CB"/>
    <w:rsid w:val="00864AF7"/>
    <w:rsid w:val="008658C3"/>
    <w:rsid w:val="00865CDB"/>
    <w:rsid w:val="008664A3"/>
    <w:rsid w:val="00871374"/>
    <w:rsid w:val="008757D5"/>
    <w:rsid w:val="00875A1B"/>
    <w:rsid w:val="0087785B"/>
    <w:rsid w:val="00880F4B"/>
    <w:rsid w:val="008811FC"/>
    <w:rsid w:val="0088158E"/>
    <w:rsid w:val="00881A87"/>
    <w:rsid w:val="0088297E"/>
    <w:rsid w:val="00882C13"/>
    <w:rsid w:val="00883DFE"/>
    <w:rsid w:val="00886141"/>
    <w:rsid w:val="00887BB1"/>
    <w:rsid w:val="00887CBD"/>
    <w:rsid w:val="00887FB2"/>
    <w:rsid w:val="0089077C"/>
    <w:rsid w:val="00892AEB"/>
    <w:rsid w:val="00894B6E"/>
    <w:rsid w:val="00895DA5"/>
    <w:rsid w:val="00895E70"/>
    <w:rsid w:val="008A03E6"/>
    <w:rsid w:val="008A09AC"/>
    <w:rsid w:val="008A1624"/>
    <w:rsid w:val="008A17E1"/>
    <w:rsid w:val="008A2E92"/>
    <w:rsid w:val="008A50A6"/>
    <w:rsid w:val="008A59B6"/>
    <w:rsid w:val="008A754C"/>
    <w:rsid w:val="008A7AD1"/>
    <w:rsid w:val="008B15C2"/>
    <w:rsid w:val="008B1D0B"/>
    <w:rsid w:val="008B3C30"/>
    <w:rsid w:val="008B4D7B"/>
    <w:rsid w:val="008B56F7"/>
    <w:rsid w:val="008B5A67"/>
    <w:rsid w:val="008B6CFC"/>
    <w:rsid w:val="008C00C0"/>
    <w:rsid w:val="008C0373"/>
    <w:rsid w:val="008C1BB6"/>
    <w:rsid w:val="008C1F57"/>
    <w:rsid w:val="008C2337"/>
    <w:rsid w:val="008C629E"/>
    <w:rsid w:val="008C6661"/>
    <w:rsid w:val="008C6FB7"/>
    <w:rsid w:val="008D2115"/>
    <w:rsid w:val="008D55A9"/>
    <w:rsid w:val="008D5A3D"/>
    <w:rsid w:val="008D668F"/>
    <w:rsid w:val="008D7993"/>
    <w:rsid w:val="008E01BD"/>
    <w:rsid w:val="008E4C06"/>
    <w:rsid w:val="008E4F4D"/>
    <w:rsid w:val="008E58FC"/>
    <w:rsid w:val="008E6F2F"/>
    <w:rsid w:val="008F0876"/>
    <w:rsid w:val="008F1D77"/>
    <w:rsid w:val="008F38BC"/>
    <w:rsid w:val="008F3BD8"/>
    <w:rsid w:val="008F4187"/>
    <w:rsid w:val="008F6A38"/>
    <w:rsid w:val="008F7F74"/>
    <w:rsid w:val="00902639"/>
    <w:rsid w:val="00903923"/>
    <w:rsid w:val="00903A7F"/>
    <w:rsid w:val="00905803"/>
    <w:rsid w:val="00907881"/>
    <w:rsid w:val="00910787"/>
    <w:rsid w:val="00912729"/>
    <w:rsid w:val="009129B9"/>
    <w:rsid w:val="0091485E"/>
    <w:rsid w:val="0091779C"/>
    <w:rsid w:val="0092254B"/>
    <w:rsid w:val="00923263"/>
    <w:rsid w:val="00924B29"/>
    <w:rsid w:val="0093215F"/>
    <w:rsid w:val="00932814"/>
    <w:rsid w:val="00932EA4"/>
    <w:rsid w:val="00934339"/>
    <w:rsid w:val="00934884"/>
    <w:rsid w:val="00934E86"/>
    <w:rsid w:val="0093613B"/>
    <w:rsid w:val="00936FDF"/>
    <w:rsid w:val="00937F18"/>
    <w:rsid w:val="00942646"/>
    <w:rsid w:val="00942BB3"/>
    <w:rsid w:val="009430C2"/>
    <w:rsid w:val="00943B8B"/>
    <w:rsid w:val="00943FC9"/>
    <w:rsid w:val="00945124"/>
    <w:rsid w:val="00947C18"/>
    <w:rsid w:val="00950376"/>
    <w:rsid w:val="00950E5B"/>
    <w:rsid w:val="0095128D"/>
    <w:rsid w:val="00951A2F"/>
    <w:rsid w:val="00951A59"/>
    <w:rsid w:val="0095255F"/>
    <w:rsid w:val="0095411A"/>
    <w:rsid w:val="009623ED"/>
    <w:rsid w:val="00964D95"/>
    <w:rsid w:val="009668CC"/>
    <w:rsid w:val="009671B9"/>
    <w:rsid w:val="00967E2F"/>
    <w:rsid w:val="00970154"/>
    <w:rsid w:val="00970A3F"/>
    <w:rsid w:val="0097104F"/>
    <w:rsid w:val="00973776"/>
    <w:rsid w:val="00974EB1"/>
    <w:rsid w:val="009753A1"/>
    <w:rsid w:val="00980815"/>
    <w:rsid w:val="00981813"/>
    <w:rsid w:val="00982A9F"/>
    <w:rsid w:val="0098345A"/>
    <w:rsid w:val="0098399D"/>
    <w:rsid w:val="0098504D"/>
    <w:rsid w:val="00985A35"/>
    <w:rsid w:val="00986416"/>
    <w:rsid w:val="00986E9D"/>
    <w:rsid w:val="00987B19"/>
    <w:rsid w:val="0099069F"/>
    <w:rsid w:val="00990AA3"/>
    <w:rsid w:val="00990DC1"/>
    <w:rsid w:val="00991D42"/>
    <w:rsid w:val="00991EA6"/>
    <w:rsid w:val="009A0FFB"/>
    <w:rsid w:val="009A10C2"/>
    <w:rsid w:val="009A231F"/>
    <w:rsid w:val="009A294A"/>
    <w:rsid w:val="009A3A7F"/>
    <w:rsid w:val="009A5CE4"/>
    <w:rsid w:val="009A781C"/>
    <w:rsid w:val="009B34C3"/>
    <w:rsid w:val="009B35C4"/>
    <w:rsid w:val="009B62AC"/>
    <w:rsid w:val="009B68A7"/>
    <w:rsid w:val="009B6EB7"/>
    <w:rsid w:val="009B7B4B"/>
    <w:rsid w:val="009B7F63"/>
    <w:rsid w:val="009C1E79"/>
    <w:rsid w:val="009C2015"/>
    <w:rsid w:val="009C327B"/>
    <w:rsid w:val="009C5FD0"/>
    <w:rsid w:val="009D0531"/>
    <w:rsid w:val="009D1067"/>
    <w:rsid w:val="009D216E"/>
    <w:rsid w:val="009D3FDF"/>
    <w:rsid w:val="009D4251"/>
    <w:rsid w:val="009D46DC"/>
    <w:rsid w:val="009D6521"/>
    <w:rsid w:val="009D6D80"/>
    <w:rsid w:val="009E0218"/>
    <w:rsid w:val="009E74A5"/>
    <w:rsid w:val="009E7DC2"/>
    <w:rsid w:val="009F0216"/>
    <w:rsid w:val="009F128A"/>
    <w:rsid w:val="009F2AB3"/>
    <w:rsid w:val="009F3436"/>
    <w:rsid w:val="009F374F"/>
    <w:rsid w:val="009F5D6B"/>
    <w:rsid w:val="009F6890"/>
    <w:rsid w:val="00A028F8"/>
    <w:rsid w:val="00A0357A"/>
    <w:rsid w:val="00A04843"/>
    <w:rsid w:val="00A05BED"/>
    <w:rsid w:val="00A07782"/>
    <w:rsid w:val="00A101F6"/>
    <w:rsid w:val="00A10204"/>
    <w:rsid w:val="00A1033B"/>
    <w:rsid w:val="00A10907"/>
    <w:rsid w:val="00A121E8"/>
    <w:rsid w:val="00A1230D"/>
    <w:rsid w:val="00A123D4"/>
    <w:rsid w:val="00A123E3"/>
    <w:rsid w:val="00A161EA"/>
    <w:rsid w:val="00A1634A"/>
    <w:rsid w:val="00A16AB7"/>
    <w:rsid w:val="00A17FBC"/>
    <w:rsid w:val="00A204C4"/>
    <w:rsid w:val="00A20F47"/>
    <w:rsid w:val="00A24843"/>
    <w:rsid w:val="00A25D11"/>
    <w:rsid w:val="00A30F42"/>
    <w:rsid w:val="00A315A8"/>
    <w:rsid w:val="00A35CA4"/>
    <w:rsid w:val="00A365F6"/>
    <w:rsid w:val="00A37372"/>
    <w:rsid w:val="00A3755D"/>
    <w:rsid w:val="00A410F3"/>
    <w:rsid w:val="00A43C4F"/>
    <w:rsid w:val="00A45964"/>
    <w:rsid w:val="00A4622E"/>
    <w:rsid w:val="00A4700B"/>
    <w:rsid w:val="00A4716D"/>
    <w:rsid w:val="00A51857"/>
    <w:rsid w:val="00A53229"/>
    <w:rsid w:val="00A5389C"/>
    <w:rsid w:val="00A55143"/>
    <w:rsid w:val="00A55A46"/>
    <w:rsid w:val="00A57C82"/>
    <w:rsid w:val="00A60BCF"/>
    <w:rsid w:val="00A60BF7"/>
    <w:rsid w:val="00A6128A"/>
    <w:rsid w:val="00A61E20"/>
    <w:rsid w:val="00A6262B"/>
    <w:rsid w:val="00A64B63"/>
    <w:rsid w:val="00A66636"/>
    <w:rsid w:val="00A66F1D"/>
    <w:rsid w:val="00A67AAB"/>
    <w:rsid w:val="00A73742"/>
    <w:rsid w:val="00A741CE"/>
    <w:rsid w:val="00A76B5E"/>
    <w:rsid w:val="00A8257D"/>
    <w:rsid w:val="00A83275"/>
    <w:rsid w:val="00A8338A"/>
    <w:rsid w:val="00A84071"/>
    <w:rsid w:val="00A844E9"/>
    <w:rsid w:val="00A84881"/>
    <w:rsid w:val="00A91345"/>
    <w:rsid w:val="00A927A4"/>
    <w:rsid w:val="00A94700"/>
    <w:rsid w:val="00A94D0F"/>
    <w:rsid w:val="00A9544F"/>
    <w:rsid w:val="00A97E6F"/>
    <w:rsid w:val="00AA107E"/>
    <w:rsid w:val="00AA39C8"/>
    <w:rsid w:val="00AA406D"/>
    <w:rsid w:val="00AA4B88"/>
    <w:rsid w:val="00AA4EF0"/>
    <w:rsid w:val="00AA506D"/>
    <w:rsid w:val="00AA7CDB"/>
    <w:rsid w:val="00AB0918"/>
    <w:rsid w:val="00AB2F2A"/>
    <w:rsid w:val="00AB605E"/>
    <w:rsid w:val="00AB6BC1"/>
    <w:rsid w:val="00AC0CAB"/>
    <w:rsid w:val="00AC1217"/>
    <w:rsid w:val="00AC2596"/>
    <w:rsid w:val="00AC31FA"/>
    <w:rsid w:val="00AC4051"/>
    <w:rsid w:val="00AC51E9"/>
    <w:rsid w:val="00AC54A9"/>
    <w:rsid w:val="00AC59E2"/>
    <w:rsid w:val="00AC6395"/>
    <w:rsid w:val="00AC7DA5"/>
    <w:rsid w:val="00AD33AB"/>
    <w:rsid w:val="00AD74ED"/>
    <w:rsid w:val="00AE0924"/>
    <w:rsid w:val="00AE3891"/>
    <w:rsid w:val="00AE3FD8"/>
    <w:rsid w:val="00AE511C"/>
    <w:rsid w:val="00AE659A"/>
    <w:rsid w:val="00AE67A3"/>
    <w:rsid w:val="00AE7144"/>
    <w:rsid w:val="00AF2CE5"/>
    <w:rsid w:val="00AF3ED1"/>
    <w:rsid w:val="00AF505F"/>
    <w:rsid w:val="00AF5C54"/>
    <w:rsid w:val="00B01024"/>
    <w:rsid w:val="00B012A8"/>
    <w:rsid w:val="00B01A16"/>
    <w:rsid w:val="00B02C97"/>
    <w:rsid w:val="00B055B8"/>
    <w:rsid w:val="00B064B8"/>
    <w:rsid w:val="00B113B1"/>
    <w:rsid w:val="00B136CD"/>
    <w:rsid w:val="00B14079"/>
    <w:rsid w:val="00B14158"/>
    <w:rsid w:val="00B22662"/>
    <w:rsid w:val="00B24B32"/>
    <w:rsid w:val="00B25F3B"/>
    <w:rsid w:val="00B25F60"/>
    <w:rsid w:val="00B265A1"/>
    <w:rsid w:val="00B311EA"/>
    <w:rsid w:val="00B315B9"/>
    <w:rsid w:val="00B32FD9"/>
    <w:rsid w:val="00B33BE3"/>
    <w:rsid w:val="00B33E94"/>
    <w:rsid w:val="00B3499A"/>
    <w:rsid w:val="00B40292"/>
    <w:rsid w:val="00B40DF8"/>
    <w:rsid w:val="00B41865"/>
    <w:rsid w:val="00B41A20"/>
    <w:rsid w:val="00B42C32"/>
    <w:rsid w:val="00B455AA"/>
    <w:rsid w:val="00B47042"/>
    <w:rsid w:val="00B5197B"/>
    <w:rsid w:val="00B525DF"/>
    <w:rsid w:val="00B53C71"/>
    <w:rsid w:val="00B54C50"/>
    <w:rsid w:val="00B554C4"/>
    <w:rsid w:val="00B56417"/>
    <w:rsid w:val="00B56CD3"/>
    <w:rsid w:val="00B570C3"/>
    <w:rsid w:val="00B57C3C"/>
    <w:rsid w:val="00B61750"/>
    <w:rsid w:val="00B62B8A"/>
    <w:rsid w:val="00B644E9"/>
    <w:rsid w:val="00B66605"/>
    <w:rsid w:val="00B67C93"/>
    <w:rsid w:val="00B67F2B"/>
    <w:rsid w:val="00B705F0"/>
    <w:rsid w:val="00B71D71"/>
    <w:rsid w:val="00B7213D"/>
    <w:rsid w:val="00B743B6"/>
    <w:rsid w:val="00B75163"/>
    <w:rsid w:val="00B75BFE"/>
    <w:rsid w:val="00B76046"/>
    <w:rsid w:val="00B7618C"/>
    <w:rsid w:val="00B77696"/>
    <w:rsid w:val="00B7791D"/>
    <w:rsid w:val="00B81357"/>
    <w:rsid w:val="00B852DD"/>
    <w:rsid w:val="00B852F9"/>
    <w:rsid w:val="00B85753"/>
    <w:rsid w:val="00B85B36"/>
    <w:rsid w:val="00B8799D"/>
    <w:rsid w:val="00B90A12"/>
    <w:rsid w:val="00B90CEB"/>
    <w:rsid w:val="00B92720"/>
    <w:rsid w:val="00B9452A"/>
    <w:rsid w:val="00B95812"/>
    <w:rsid w:val="00B95D89"/>
    <w:rsid w:val="00B971D2"/>
    <w:rsid w:val="00B978BD"/>
    <w:rsid w:val="00B97AE3"/>
    <w:rsid w:val="00BA0804"/>
    <w:rsid w:val="00BA0E92"/>
    <w:rsid w:val="00BA1826"/>
    <w:rsid w:val="00BA1A60"/>
    <w:rsid w:val="00BA1C3C"/>
    <w:rsid w:val="00BA2D0F"/>
    <w:rsid w:val="00BA30B4"/>
    <w:rsid w:val="00BA47B5"/>
    <w:rsid w:val="00BA649A"/>
    <w:rsid w:val="00BA6A51"/>
    <w:rsid w:val="00BA7923"/>
    <w:rsid w:val="00BB2354"/>
    <w:rsid w:val="00BB33E7"/>
    <w:rsid w:val="00BB5E56"/>
    <w:rsid w:val="00BB75E2"/>
    <w:rsid w:val="00BB7F07"/>
    <w:rsid w:val="00BC0200"/>
    <w:rsid w:val="00BC07DA"/>
    <w:rsid w:val="00BC2224"/>
    <w:rsid w:val="00BC2596"/>
    <w:rsid w:val="00BC27FC"/>
    <w:rsid w:val="00BC5ECB"/>
    <w:rsid w:val="00BC6BA6"/>
    <w:rsid w:val="00BD0D98"/>
    <w:rsid w:val="00BD248C"/>
    <w:rsid w:val="00BD2FAD"/>
    <w:rsid w:val="00BD5033"/>
    <w:rsid w:val="00BD5DFE"/>
    <w:rsid w:val="00BD5ED7"/>
    <w:rsid w:val="00BD5F01"/>
    <w:rsid w:val="00BD667A"/>
    <w:rsid w:val="00BD7230"/>
    <w:rsid w:val="00BD731D"/>
    <w:rsid w:val="00BD73CB"/>
    <w:rsid w:val="00BE062F"/>
    <w:rsid w:val="00BE0AC7"/>
    <w:rsid w:val="00BE1EE5"/>
    <w:rsid w:val="00BE4023"/>
    <w:rsid w:val="00BE5991"/>
    <w:rsid w:val="00BE63B1"/>
    <w:rsid w:val="00BE6E72"/>
    <w:rsid w:val="00BE73D3"/>
    <w:rsid w:val="00BF1495"/>
    <w:rsid w:val="00BF1B9E"/>
    <w:rsid w:val="00BF31FE"/>
    <w:rsid w:val="00BF40C7"/>
    <w:rsid w:val="00BF4CBB"/>
    <w:rsid w:val="00BF51EC"/>
    <w:rsid w:val="00BF6ED1"/>
    <w:rsid w:val="00BF7F90"/>
    <w:rsid w:val="00C00288"/>
    <w:rsid w:val="00C00EAA"/>
    <w:rsid w:val="00C01640"/>
    <w:rsid w:val="00C03F96"/>
    <w:rsid w:val="00C07388"/>
    <w:rsid w:val="00C07BE2"/>
    <w:rsid w:val="00C100A3"/>
    <w:rsid w:val="00C103BF"/>
    <w:rsid w:val="00C115ED"/>
    <w:rsid w:val="00C13072"/>
    <w:rsid w:val="00C14A91"/>
    <w:rsid w:val="00C157AC"/>
    <w:rsid w:val="00C15F09"/>
    <w:rsid w:val="00C1703C"/>
    <w:rsid w:val="00C175EC"/>
    <w:rsid w:val="00C20C47"/>
    <w:rsid w:val="00C21BA7"/>
    <w:rsid w:val="00C21D0A"/>
    <w:rsid w:val="00C22301"/>
    <w:rsid w:val="00C22EF7"/>
    <w:rsid w:val="00C2538E"/>
    <w:rsid w:val="00C258FD"/>
    <w:rsid w:val="00C26A16"/>
    <w:rsid w:val="00C27F35"/>
    <w:rsid w:val="00C31159"/>
    <w:rsid w:val="00C31652"/>
    <w:rsid w:val="00C32392"/>
    <w:rsid w:val="00C32CAB"/>
    <w:rsid w:val="00C33124"/>
    <w:rsid w:val="00C3322E"/>
    <w:rsid w:val="00C34228"/>
    <w:rsid w:val="00C3623A"/>
    <w:rsid w:val="00C3681D"/>
    <w:rsid w:val="00C405DE"/>
    <w:rsid w:val="00C426B2"/>
    <w:rsid w:val="00C45027"/>
    <w:rsid w:val="00C450BD"/>
    <w:rsid w:val="00C45A41"/>
    <w:rsid w:val="00C47B62"/>
    <w:rsid w:val="00C50022"/>
    <w:rsid w:val="00C5181F"/>
    <w:rsid w:val="00C53C59"/>
    <w:rsid w:val="00C53DBB"/>
    <w:rsid w:val="00C57C04"/>
    <w:rsid w:val="00C6135B"/>
    <w:rsid w:val="00C6498E"/>
    <w:rsid w:val="00C64B5E"/>
    <w:rsid w:val="00C65CB1"/>
    <w:rsid w:val="00C65D78"/>
    <w:rsid w:val="00C673A9"/>
    <w:rsid w:val="00C67C44"/>
    <w:rsid w:val="00C7230B"/>
    <w:rsid w:val="00C748FD"/>
    <w:rsid w:val="00C759FC"/>
    <w:rsid w:val="00C7748A"/>
    <w:rsid w:val="00C77DF1"/>
    <w:rsid w:val="00C8147C"/>
    <w:rsid w:val="00C82B58"/>
    <w:rsid w:val="00C8331A"/>
    <w:rsid w:val="00C83D92"/>
    <w:rsid w:val="00C84382"/>
    <w:rsid w:val="00C865DF"/>
    <w:rsid w:val="00C878D1"/>
    <w:rsid w:val="00C90A00"/>
    <w:rsid w:val="00C9293B"/>
    <w:rsid w:val="00C92E72"/>
    <w:rsid w:val="00C958D1"/>
    <w:rsid w:val="00C95B79"/>
    <w:rsid w:val="00C97B22"/>
    <w:rsid w:val="00CA0BE7"/>
    <w:rsid w:val="00CA3AEE"/>
    <w:rsid w:val="00CA7EC1"/>
    <w:rsid w:val="00CB2013"/>
    <w:rsid w:val="00CB2871"/>
    <w:rsid w:val="00CB3602"/>
    <w:rsid w:val="00CB39C9"/>
    <w:rsid w:val="00CB4945"/>
    <w:rsid w:val="00CB5839"/>
    <w:rsid w:val="00CB634D"/>
    <w:rsid w:val="00CB646D"/>
    <w:rsid w:val="00CB66C1"/>
    <w:rsid w:val="00CB7B65"/>
    <w:rsid w:val="00CB7E2B"/>
    <w:rsid w:val="00CC0969"/>
    <w:rsid w:val="00CC0E41"/>
    <w:rsid w:val="00CC1AA1"/>
    <w:rsid w:val="00CC2E3F"/>
    <w:rsid w:val="00CC3EB5"/>
    <w:rsid w:val="00CC55E6"/>
    <w:rsid w:val="00CD0372"/>
    <w:rsid w:val="00CD2261"/>
    <w:rsid w:val="00CD434D"/>
    <w:rsid w:val="00CD612E"/>
    <w:rsid w:val="00CD616C"/>
    <w:rsid w:val="00CE26F6"/>
    <w:rsid w:val="00CE2E3E"/>
    <w:rsid w:val="00CE48FB"/>
    <w:rsid w:val="00CE70C6"/>
    <w:rsid w:val="00CF0EEE"/>
    <w:rsid w:val="00CF2173"/>
    <w:rsid w:val="00CF2620"/>
    <w:rsid w:val="00CF2D05"/>
    <w:rsid w:val="00CF3885"/>
    <w:rsid w:val="00CF5337"/>
    <w:rsid w:val="00CF6D12"/>
    <w:rsid w:val="00CF7999"/>
    <w:rsid w:val="00D00BF3"/>
    <w:rsid w:val="00D027E9"/>
    <w:rsid w:val="00D02A3D"/>
    <w:rsid w:val="00D02E09"/>
    <w:rsid w:val="00D04013"/>
    <w:rsid w:val="00D07E1E"/>
    <w:rsid w:val="00D07F3D"/>
    <w:rsid w:val="00D110C0"/>
    <w:rsid w:val="00D12839"/>
    <w:rsid w:val="00D12B3F"/>
    <w:rsid w:val="00D13B3A"/>
    <w:rsid w:val="00D14244"/>
    <w:rsid w:val="00D21E1F"/>
    <w:rsid w:val="00D22095"/>
    <w:rsid w:val="00D23261"/>
    <w:rsid w:val="00D23369"/>
    <w:rsid w:val="00D24F62"/>
    <w:rsid w:val="00D25D31"/>
    <w:rsid w:val="00D25DC2"/>
    <w:rsid w:val="00D30A38"/>
    <w:rsid w:val="00D321FE"/>
    <w:rsid w:val="00D32805"/>
    <w:rsid w:val="00D32B5B"/>
    <w:rsid w:val="00D32FB4"/>
    <w:rsid w:val="00D35117"/>
    <w:rsid w:val="00D3558D"/>
    <w:rsid w:val="00D40A0D"/>
    <w:rsid w:val="00D43E4D"/>
    <w:rsid w:val="00D459E6"/>
    <w:rsid w:val="00D45D87"/>
    <w:rsid w:val="00D45EEA"/>
    <w:rsid w:val="00D46A36"/>
    <w:rsid w:val="00D46F71"/>
    <w:rsid w:val="00D51F9C"/>
    <w:rsid w:val="00D521D4"/>
    <w:rsid w:val="00D52D31"/>
    <w:rsid w:val="00D5412E"/>
    <w:rsid w:val="00D607B8"/>
    <w:rsid w:val="00D628F3"/>
    <w:rsid w:val="00D64388"/>
    <w:rsid w:val="00D64D56"/>
    <w:rsid w:val="00D65BC2"/>
    <w:rsid w:val="00D66877"/>
    <w:rsid w:val="00D66FEE"/>
    <w:rsid w:val="00D70BAF"/>
    <w:rsid w:val="00D7135D"/>
    <w:rsid w:val="00D713F1"/>
    <w:rsid w:val="00D73E7C"/>
    <w:rsid w:val="00D741CB"/>
    <w:rsid w:val="00D74CF9"/>
    <w:rsid w:val="00D7553C"/>
    <w:rsid w:val="00D76B59"/>
    <w:rsid w:val="00D76F00"/>
    <w:rsid w:val="00D77D4D"/>
    <w:rsid w:val="00D815E4"/>
    <w:rsid w:val="00D82022"/>
    <w:rsid w:val="00D82C1F"/>
    <w:rsid w:val="00D843B4"/>
    <w:rsid w:val="00D85C6F"/>
    <w:rsid w:val="00D85E4F"/>
    <w:rsid w:val="00D86FCF"/>
    <w:rsid w:val="00D92F4F"/>
    <w:rsid w:val="00DA1FA5"/>
    <w:rsid w:val="00DA2500"/>
    <w:rsid w:val="00DA2EA0"/>
    <w:rsid w:val="00DA32C1"/>
    <w:rsid w:val="00DA40A1"/>
    <w:rsid w:val="00DA4E3D"/>
    <w:rsid w:val="00DA5841"/>
    <w:rsid w:val="00DA5981"/>
    <w:rsid w:val="00DA6596"/>
    <w:rsid w:val="00DB01C9"/>
    <w:rsid w:val="00DB070E"/>
    <w:rsid w:val="00DB177D"/>
    <w:rsid w:val="00DB1FD5"/>
    <w:rsid w:val="00DB36EE"/>
    <w:rsid w:val="00DB3D55"/>
    <w:rsid w:val="00DB3E4D"/>
    <w:rsid w:val="00DB7BDE"/>
    <w:rsid w:val="00DC0E1B"/>
    <w:rsid w:val="00DC21E1"/>
    <w:rsid w:val="00DC306F"/>
    <w:rsid w:val="00DC366C"/>
    <w:rsid w:val="00DC3919"/>
    <w:rsid w:val="00DC39D2"/>
    <w:rsid w:val="00DD0A6F"/>
    <w:rsid w:val="00DD11BD"/>
    <w:rsid w:val="00DD2173"/>
    <w:rsid w:val="00DD28A5"/>
    <w:rsid w:val="00DD2B04"/>
    <w:rsid w:val="00DD524C"/>
    <w:rsid w:val="00DD72C5"/>
    <w:rsid w:val="00DE06D2"/>
    <w:rsid w:val="00DE0D19"/>
    <w:rsid w:val="00DE1298"/>
    <w:rsid w:val="00DE1641"/>
    <w:rsid w:val="00DE3180"/>
    <w:rsid w:val="00DE3609"/>
    <w:rsid w:val="00DE4695"/>
    <w:rsid w:val="00DE68EA"/>
    <w:rsid w:val="00DE7802"/>
    <w:rsid w:val="00DF2192"/>
    <w:rsid w:val="00DF3245"/>
    <w:rsid w:val="00DF6043"/>
    <w:rsid w:val="00DF6B9B"/>
    <w:rsid w:val="00DF7FFC"/>
    <w:rsid w:val="00E00A9E"/>
    <w:rsid w:val="00E0283A"/>
    <w:rsid w:val="00E065B9"/>
    <w:rsid w:val="00E0796C"/>
    <w:rsid w:val="00E07F05"/>
    <w:rsid w:val="00E105CE"/>
    <w:rsid w:val="00E10782"/>
    <w:rsid w:val="00E12471"/>
    <w:rsid w:val="00E14332"/>
    <w:rsid w:val="00E1487E"/>
    <w:rsid w:val="00E15B10"/>
    <w:rsid w:val="00E1699C"/>
    <w:rsid w:val="00E17123"/>
    <w:rsid w:val="00E20DB4"/>
    <w:rsid w:val="00E2212D"/>
    <w:rsid w:val="00E2247A"/>
    <w:rsid w:val="00E2359C"/>
    <w:rsid w:val="00E2488D"/>
    <w:rsid w:val="00E25E69"/>
    <w:rsid w:val="00E26C44"/>
    <w:rsid w:val="00E26CE4"/>
    <w:rsid w:val="00E31488"/>
    <w:rsid w:val="00E32B6C"/>
    <w:rsid w:val="00E37BB6"/>
    <w:rsid w:val="00E457E4"/>
    <w:rsid w:val="00E45AF9"/>
    <w:rsid w:val="00E45E90"/>
    <w:rsid w:val="00E5140E"/>
    <w:rsid w:val="00E51DF6"/>
    <w:rsid w:val="00E523D8"/>
    <w:rsid w:val="00E542E3"/>
    <w:rsid w:val="00E54AA4"/>
    <w:rsid w:val="00E54CA4"/>
    <w:rsid w:val="00E54CC6"/>
    <w:rsid w:val="00E55F3A"/>
    <w:rsid w:val="00E609FD"/>
    <w:rsid w:val="00E6405B"/>
    <w:rsid w:val="00E65568"/>
    <w:rsid w:val="00E66FD8"/>
    <w:rsid w:val="00E71915"/>
    <w:rsid w:val="00E76815"/>
    <w:rsid w:val="00E76EE3"/>
    <w:rsid w:val="00E774DE"/>
    <w:rsid w:val="00E77D15"/>
    <w:rsid w:val="00E81B09"/>
    <w:rsid w:val="00E82F6D"/>
    <w:rsid w:val="00E90806"/>
    <w:rsid w:val="00E92BDC"/>
    <w:rsid w:val="00E932A0"/>
    <w:rsid w:val="00E94243"/>
    <w:rsid w:val="00E94CDB"/>
    <w:rsid w:val="00EA047A"/>
    <w:rsid w:val="00EA1D4B"/>
    <w:rsid w:val="00EA37BD"/>
    <w:rsid w:val="00EA58D5"/>
    <w:rsid w:val="00EA6FFB"/>
    <w:rsid w:val="00EB2135"/>
    <w:rsid w:val="00EB2174"/>
    <w:rsid w:val="00EB4A5F"/>
    <w:rsid w:val="00EC270C"/>
    <w:rsid w:val="00EC4031"/>
    <w:rsid w:val="00EC4748"/>
    <w:rsid w:val="00EC6E5F"/>
    <w:rsid w:val="00ED0773"/>
    <w:rsid w:val="00ED1360"/>
    <w:rsid w:val="00ED1764"/>
    <w:rsid w:val="00ED5BCA"/>
    <w:rsid w:val="00ED6405"/>
    <w:rsid w:val="00ED7366"/>
    <w:rsid w:val="00EE3F04"/>
    <w:rsid w:val="00EE4363"/>
    <w:rsid w:val="00EE511E"/>
    <w:rsid w:val="00EE6096"/>
    <w:rsid w:val="00EE6331"/>
    <w:rsid w:val="00EE65FE"/>
    <w:rsid w:val="00EE7673"/>
    <w:rsid w:val="00EE7E55"/>
    <w:rsid w:val="00EF1FB3"/>
    <w:rsid w:val="00EF4EC7"/>
    <w:rsid w:val="00EF6A34"/>
    <w:rsid w:val="00EF6E69"/>
    <w:rsid w:val="00F014CE"/>
    <w:rsid w:val="00F025CE"/>
    <w:rsid w:val="00F03997"/>
    <w:rsid w:val="00F03DB2"/>
    <w:rsid w:val="00F0449A"/>
    <w:rsid w:val="00F04F6E"/>
    <w:rsid w:val="00F104CB"/>
    <w:rsid w:val="00F109E6"/>
    <w:rsid w:val="00F10B67"/>
    <w:rsid w:val="00F10E08"/>
    <w:rsid w:val="00F10E33"/>
    <w:rsid w:val="00F1535B"/>
    <w:rsid w:val="00F166F7"/>
    <w:rsid w:val="00F1711C"/>
    <w:rsid w:val="00F17B42"/>
    <w:rsid w:val="00F17DC6"/>
    <w:rsid w:val="00F22D99"/>
    <w:rsid w:val="00F23E84"/>
    <w:rsid w:val="00F245CC"/>
    <w:rsid w:val="00F248A4"/>
    <w:rsid w:val="00F25520"/>
    <w:rsid w:val="00F25C35"/>
    <w:rsid w:val="00F268DF"/>
    <w:rsid w:val="00F26AD5"/>
    <w:rsid w:val="00F26EAE"/>
    <w:rsid w:val="00F27F04"/>
    <w:rsid w:val="00F301DF"/>
    <w:rsid w:val="00F30381"/>
    <w:rsid w:val="00F307B9"/>
    <w:rsid w:val="00F31F85"/>
    <w:rsid w:val="00F32714"/>
    <w:rsid w:val="00F33E31"/>
    <w:rsid w:val="00F34117"/>
    <w:rsid w:val="00F3497A"/>
    <w:rsid w:val="00F42372"/>
    <w:rsid w:val="00F43E36"/>
    <w:rsid w:val="00F44356"/>
    <w:rsid w:val="00F467E1"/>
    <w:rsid w:val="00F472DF"/>
    <w:rsid w:val="00F475D2"/>
    <w:rsid w:val="00F53CA7"/>
    <w:rsid w:val="00F54E7E"/>
    <w:rsid w:val="00F55672"/>
    <w:rsid w:val="00F55AC5"/>
    <w:rsid w:val="00F56CCD"/>
    <w:rsid w:val="00F6636D"/>
    <w:rsid w:val="00F665CB"/>
    <w:rsid w:val="00F66A62"/>
    <w:rsid w:val="00F66B7B"/>
    <w:rsid w:val="00F67B56"/>
    <w:rsid w:val="00F67D37"/>
    <w:rsid w:val="00F700D5"/>
    <w:rsid w:val="00F70813"/>
    <w:rsid w:val="00F7116F"/>
    <w:rsid w:val="00F721EF"/>
    <w:rsid w:val="00F723F9"/>
    <w:rsid w:val="00F727DD"/>
    <w:rsid w:val="00F73564"/>
    <w:rsid w:val="00F745A5"/>
    <w:rsid w:val="00F75296"/>
    <w:rsid w:val="00F76497"/>
    <w:rsid w:val="00F76CE4"/>
    <w:rsid w:val="00F80342"/>
    <w:rsid w:val="00F81574"/>
    <w:rsid w:val="00F82504"/>
    <w:rsid w:val="00F832A7"/>
    <w:rsid w:val="00F833BD"/>
    <w:rsid w:val="00F853B3"/>
    <w:rsid w:val="00F85AD1"/>
    <w:rsid w:val="00F85B2E"/>
    <w:rsid w:val="00F85B64"/>
    <w:rsid w:val="00F870BF"/>
    <w:rsid w:val="00F92904"/>
    <w:rsid w:val="00F93772"/>
    <w:rsid w:val="00F95B24"/>
    <w:rsid w:val="00F97E16"/>
    <w:rsid w:val="00FA0F67"/>
    <w:rsid w:val="00FA5526"/>
    <w:rsid w:val="00FA69BC"/>
    <w:rsid w:val="00FB1A0D"/>
    <w:rsid w:val="00FB41CF"/>
    <w:rsid w:val="00FB45AB"/>
    <w:rsid w:val="00FB538A"/>
    <w:rsid w:val="00FB69F4"/>
    <w:rsid w:val="00FC0B4A"/>
    <w:rsid w:val="00FC0BA4"/>
    <w:rsid w:val="00FC24CC"/>
    <w:rsid w:val="00FC3FCD"/>
    <w:rsid w:val="00FC4495"/>
    <w:rsid w:val="00FC4AE5"/>
    <w:rsid w:val="00FC5008"/>
    <w:rsid w:val="00FC5724"/>
    <w:rsid w:val="00FC6F65"/>
    <w:rsid w:val="00FC7ECD"/>
    <w:rsid w:val="00FD0806"/>
    <w:rsid w:val="00FD0A85"/>
    <w:rsid w:val="00FD0D84"/>
    <w:rsid w:val="00FD122F"/>
    <w:rsid w:val="00FD19E6"/>
    <w:rsid w:val="00FD237B"/>
    <w:rsid w:val="00FD408B"/>
    <w:rsid w:val="00FD46DC"/>
    <w:rsid w:val="00FD6851"/>
    <w:rsid w:val="00FE0BFE"/>
    <w:rsid w:val="00FE2B11"/>
    <w:rsid w:val="00FE362E"/>
    <w:rsid w:val="00FE4231"/>
    <w:rsid w:val="00FE456C"/>
    <w:rsid w:val="00FE6398"/>
    <w:rsid w:val="00FF0233"/>
    <w:rsid w:val="00FF26F3"/>
    <w:rsid w:val="00FF33A9"/>
    <w:rsid w:val="00FF35A6"/>
    <w:rsid w:val="00FF45DC"/>
    <w:rsid w:val="00FF5578"/>
    <w:rsid w:val="00FF5C5C"/>
    <w:rsid w:val="00FF635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A921"/>
  <w15:docId w15:val="{43453936-60E3-D840-8F48-06EA7031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FF5"/>
    <w:pPr>
      <w:spacing w:before="120" w:after="240" w:line="480" w:lineRule="auto"/>
    </w:pPr>
    <w:rPr>
      <w:rFonts w:ascii="Times New Roman" w:hAnsi="Times New Roman"/>
    </w:rPr>
  </w:style>
  <w:style w:type="paragraph" w:styleId="Heading1">
    <w:name w:val="heading 1"/>
    <w:basedOn w:val="Normal"/>
    <w:next w:val="BodyText"/>
    <w:uiPriority w:val="9"/>
    <w:qFormat/>
    <w:rsid w:val="000E21EC"/>
    <w:pPr>
      <w:keepNext/>
      <w:keepLines/>
      <w:spacing w:before="0" w:after="0"/>
      <w:jc w:val="center"/>
      <w:outlineLvl w:val="0"/>
    </w:pPr>
    <w:rPr>
      <w:rFonts w:eastAsiaTheme="majorEastAsia" w:cstheme="majorBidi"/>
      <w:b/>
      <w:bCs/>
      <w:szCs w:val="32"/>
    </w:rPr>
  </w:style>
  <w:style w:type="paragraph" w:styleId="Heading2">
    <w:name w:val="heading 2"/>
    <w:basedOn w:val="Heading1"/>
    <w:next w:val="BodyText"/>
    <w:uiPriority w:val="9"/>
    <w:unhideWhenUsed/>
    <w:qFormat/>
    <w:rsid w:val="00BC0200"/>
    <w:pPr>
      <w:numPr>
        <w:ilvl w:val="1"/>
      </w:numPr>
      <w:jc w:val="left"/>
      <w:outlineLvl w:val="1"/>
    </w:pPr>
    <w:rPr>
      <w:bCs w:val="0"/>
    </w:rPr>
  </w:style>
  <w:style w:type="paragraph" w:styleId="Heading3">
    <w:name w:val="heading 3"/>
    <w:basedOn w:val="Heading2"/>
    <w:next w:val="Normal"/>
    <w:uiPriority w:val="9"/>
    <w:unhideWhenUsed/>
    <w:qFormat/>
    <w:rsid w:val="003D0D5A"/>
    <w:pPr>
      <w:numPr>
        <w:ilvl w:val="2"/>
      </w:numPr>
      <w:outlineLvl w:val="2"/>
    </w:pPr>
    <w:rPr>
      <w:rFonts w:cs="Times New Roman (Headings CS)"/>
      <w:bCs/>
      <w:i/>
      <w:szCs w:val="28"/>
    </w:rPr>
  </w:style>
  <w:style w:type="paragraph" w:styleId="Heading4">
    <w:name w:val="heading 4"/>
    <w:basedOn w:val="Heading3"/>
    <w:next w:val="BodyText"/>
    <w:uiPriority w:val="9"/>
    <w:unhideWhenUsed/>
    <w:qFormat/>
    <w:rsid w:val="00BE4023"/>
    <w:pPr>
      <w:keepNext w:val="0"/>
      <w:keepLines w:val="0"/>
      <w:pageBreakBefore/>
      <w:contextualSpacing/>
      <w:jc w:val="center"/>
      <w:outlineLvl w:val="3"/>
    </w:pPr>
    <w:rPr>
      <w:b w:val="0"/>
      <w:bCs w:val="0"/>
    </w:rPr>
  </w:style>
  <w:style w:type="paragraph" w:styleId="Heading5">
    <w:name w:val="heading 5"/>
    <w:basedOn w:val="Heading4"/>
    <w:next w:val="BodyText"/>
    <w:uiPriority w:val="9"/>
    <w:unhideWhenUsed/>
    <w:qFormat/>
    <w:rsid w:val="00BE4023"/>
    <w:pPr>
      <w:pageBreakBefore w:val="0"/>
      <w:outlineLvl w:val="4"/>
    </w:pPr>
    <w:rPr>
      <w:iCs/>
    </w:rPr>
  </w:style>
  <w:style w:type="paragraph" w:styleId="Heading6">
    <w:name w:val="heading 6"/>
    <w:basedOn w:val="Normal"/>
    <w:next w:val="BodyText"/>
    <w:uiPriority w:val="9"/>
    <w:unhideWhenUsed/>
    <w:qFormat/>
    <w:rsid w:val="00BE4023"/>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rsid w:val="00BE4023"/>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rsid w:val="00BE4023"/>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rsid w:val="00BE4023"/>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F756F"/>
    <w:pPr>
      <w:spacing w:before="0" w:after="0"/>
      <w:ind w:firstLine="680"/>
    </w:pPr>
  </w:style>
  <w:style w:type="paragraph" w:customStyle="1" w:styleId="FirstParagraph">
    <w:name w:val="First Paragraph"/>
    <w:basedOn w:val="BodyText"/>
    <w:next w:val="BodyText"/>
    <w:qFormat/>
    <w:rsid w:val="00CF756F"/>
  </w:style>
  <w:style w:type="paragraph" w:customStyle="1" w:styleId="Compact">
    <w:name w:val="Compact"/>
    <w:basedOn w:val="BodyText"/>
    <w:qFormat/>
    <w:rsid w:val="00AF6DE6"/>
    <w:pPr>
      <w:spacing w:after="180" w:line="240" w:lineRule="auto"/>
      <w:ind w:firstLine="0"/>
    </w:pPr>
  </w:style>
  <w:style w:type="paragraph" w:styleId="Title">
    <w:name w:val="Title"/>
    <w:basedOn w:val="Normal"/>
    <w:next w:val="BodyText"/>
    <w:qFormat/>
    <w:rsid w:val="00186200"/>
    <w:pPr>
      <w:keepNext/>
      <w:keepLines/>
      <w:spacing w:before="2040"/>
      <w:jc w:val="center"/>
    </w:pPr>
    <w:rPr>
      <w:rFonts w:eastAsiaTheme="majorEastAsia" w:cstheme="majorBidi"/>
      <w:bCs/>
      <w:szCs w:val="36"/>
    </w:rPr>
  </w:style>
  <w:style w:type="paragraph" w:styleId="Subtitle">
    <w:name w:val="Subtitle"/>
    <w:basedOn w:val="Title"/>
    <w:next w:val="BodyText"/>
    <w:qFormat/>
    <w:rsid w:val="00572FF5"/>
    <w:pPr>
      <w:spacing w:before="240"/>
    </w:pPr>
    <w:rPr>
      <w:szCs w:val="30"/>
    </w:rPr>
  </w:style>
  <w:style w:type="paragraph" w:customStyle="1" w:styleId="Author">
    <w:name w:val="Author"/>
    <w:basedOn w:val="Title"/>
    <w:next w:val="BodyText"/>
    <w:qFormat/>
    <w:rsid w:val="00CB20D0"/>
    <w:pPr>
      <w:spacing w:before="0"/>
    </w:pPr>
  </w:style>
  <w:style w:type="paragraph" w:styleId="Date">
    <w:name w:val="Date"/>
    <w:next w:val="BodyText"/>
    <w:qFormat/>
    <w:pPr>
      <w:keepNext/>
      <w:keepLines/>
      <w:jc w:val="center"/>
    </w:pPr>
  </w:style>
  <w:style w:type="paragraph" w:customStyle="1" w:styleId="Abstract">
    <w:name w:val="Abstract"/>
    <w:basedOn w:val="Normal"/>
    <w:next w:val="BodyText"/>
    <w:qFormat/>
    <w:rsid w:val="00572FF5"/>
    <w:pPr>
      <w:keepNext/>
      <w:keepLines/>
      <w:spacing w:before="300" w:after="300"/>
    </w:pPr>
    <w:rPr>
      <w:szCs w:val="20"/>
    </w:rPr>
  </w:style>
  <w:style w:type="paragraph" w:styleId="Bibliography">
    <w:name w:val="Bibliography"/>
    <w:aliases w:val="refs"/>
    <w:basedOn w:val="Normal"/>
    <w:qFormat/>
    <w:rsid w:val="00572FF5"/>
    <w:pPr>
      <w:ind w:left="680" w:hanging="680"/>
    </w:pPr>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rsid w:val="00006D3F"/>
    <w:pPr>
      <w:spacing w:before="0"/>
    </w:pPr>
  </w:style>
  <w:style w:type="table" w:customStyle="1" w:styleId="Table">
    <w:name w:val="Table"/>
    <w:basedOn w:val="TableNormal"/>
    <w:uiPriority w:val="99"/>
    <w:rsid w:val="00141BA7"/>
    <w:pPr>
      <w:spacing w:after="0"/>
    </w:pPr>
    <w:rPr>
      <w:rFonts w:ascii="Times New Roman" w:hAnsi="Times New Roman"/>
    </w:rPr>
    <w:tblPr>
      <w:tblBorders>
        <w:top w:val="single" w:sz="12" w:space="0" w:color="auto"/>
        <w:bottom w:val="single" w:sz="4" w:space="0" w:color="auto"/>
      </w:tblBorders>
    </w:tblPr>
    <w:tcPr>
      <w:vAlign w:val="center"/>
    </w:tcPr>
    <w:tblStylePr w:type="firstRow">
      <w:tblPr/>
      <w:tcPr>
        <w:tcBorders>
          <w:top w:val="single" w:sz="8" w:space="0" w:color="auto"/>
          <w:bottom w:val="single" w:sz="4" w:space="0" w:color="auto"/>
        </w:tcBorders>
      </w:tcPr>
    </w:tblStylePr>
    <w:tblStylePr w:type="lastRow">
      <w:tblPr/>
      <w:tcPr>
        <w:tcBorders>
          <w:bottom w:val="single" w:sz="4" w:space="0" w:color="auto"/>
        </w:tcBorders>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rsid w:val="00006D3F"/>
    <w:pPr>
      <w:keepNext/>
    </w:pPr>
  </w:style>
  <w:style w:type="paragraph" w:customStyle="1" w:styleId="ImageCaption">
    <w:name w:val="Image Caption"/>
    <w:basedOn w:val="Caption"/>
    <w:rsid w:val="00421B26"/>
    <w:rPr>
      <w:i w:val="0"/>
    </w:rPr>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rsid w:val="00006D3F"/>
    <w:pPr>
      <w:spacing w:before="240" w:after="240"/>
      <w:outlineLvl w:val="9"/>
    </w:pPr>
    <w:rPr>
      <w:bCs w:val="0"/>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iPriority w:val="99"/>
    <w:unhideWhenUsed/>
    <w:rsid w:val="00AF36ED"/>
    <w:pPr>
      <w:tabs>
        <w:tab w:val="center" w:pos="4536"/>
        <w:tab w:val="right" w:pos="9072"/>
      </w:tabs>
      <w:spacing w:after="0"/>
    </w:pPr>
  </w:style>
  <w:style w:type="character" w:customStyle="1" w:styleId="HeaderChar">
    <w:name w:val="Header Char"/>
    <w:basedOn w:val="DefaultParagraphFont"/>
    <w:link w:val="Header"/>
    <w:uiPriority w:val="99"/>
    <w:rsid w:val="00AF36ED"/>
  </w:style>
  <w:style w:type="paragraph" w:styleId="Footer">
    <w:name w:val="footer"/>
    <w:basedOn w:val="Normal"/>
    <w:link w:val="FooterChar"/>
    <w:unhideWhenUsed/>
    <w:rsid w:val="00AF36ED"/>
    <w:pPr>
      <w:tabs>
        <w:tab w:val="center" w:pos="4536"/>
        <w:tab w:val="right" w:pos="9072"/>
      </w:tabs>
      <w:spacing w:after="0"/>
    </w:pPr>
  </w:style>
  <w:style w:type="character" w:customStyle="1" w:styleId="FooterChar">
    <w:name w:val="Footer Char"/>
    <w:basedOn w:val="DefaultParagraphFont"/>
    <w:link w:val="Footer"/>
    <w:rsid w:val="00AF36ED"/>
  </w:style>
  <w:style w:type="character" w:styleId="PageNumber">
    <w:name w:val="page number"/>
    <w:basedOn w:val="DefaultParagraphFont"/>
    <w:semiHidden/>
    <w:unhideWhenUsed/>
    <w:rsid w:val="00AF36ED"/>
  </w:style>
  <w:style w:type="paragraph" w:customStyle="1" w:styleId="h1-pagebreak">
    <w:name w:val="h1-pagebreak"/>
    <w:basedOn w:val="Heading1"/>
    <w:qFormat/>
    <w:rsid w:val="00DD5581"/>
    <w:pPr>
      <w:pageBreakBefore/>
    </w:pPr>
    <w:rPr>
      <w:b w:val="0"/>
    </w:rPr>
  </w:style>
  <w:style w:type="character" w:customStyle="1" w:styleId="BodyTextChar">
    <w:name w:val="Body Text Char"/>
    <w:basedOn w:val="DefaultParagraphFont"/>
    <w:link w:val="BodyText"/>
    <w:rsid w:val="00CF756F"/>
    <w:rPr>
      <w:rFonts w:ascii="Times New Roman" w:hAnsi="Times New Roman"/>
    </w:rPr>
  </w:style>
  <w:style w:type="table" w:styleId="TableGrid">
    <w:name w:val="Table Grid"/>
    <w:basedOn w:val="TableNormal"/>
    <w:uiPriority w:val="39"/>
    <w:rsid w:val="00006D3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rsid w:val="00006D3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rsid w:val="00006D3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rsid w:val="00006D3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ookTitle">
    <w:name w:val="Book Title"/>
    <w:basedOn w:val="DefaultParagraphFont"/>
    <w:rsid w:val="00F14702"/>
    <w:rPr>
      <w:b/>
      <w:bCs/>
      <w:i/>
      <w:iCs/>
      <w:spacing w:val="5"/>
    </w:rPr>
  </w:style>
  <w:style w:type="paragraph" w:customStyle="1" w:styleId="h1-titlepage">
    <w:name w:val="h1-titlepage"/>
    <w:basedOn w:val="h1-pagebreak"/>
    <w:qFormat/>
    <w:rsid w:val="00A05772"/>
    <w:rPr>
      <w:b/>
    </w:rPr>
  </w:style>
  <w:style w:type="character" w:styleId="CommentReference">
    <w:name w:val="annotation reference"/>
    <w:basedOn w:val="DefaultParagraphFont"/>
    <w:semiHidden/>
    <w:unhideWhenUsed/>
    <w:rsid w:val="00BA7923"/>
    <w:rPr>
      <w:sz w:val="16"/>
      <w:szCs w:val="16"/>
    </w:rPr>
  </w:style>
  <w:style w:type="paragraph" w:styleId="CommentText">
    <w:name w:val="annotation text"/>
    <w:basedOn w:val="Normal"/>
    <w:link w:val="CommentTextChar"/>
    <w:unhideWhenUsed/>
    <w:rsid w:val="00BA7923"/>
    <w:pPr>
      <w:spacing w:line="240" w:lineRule="auto"/>
    </w:pPr>
    <w:rPr>
      <w:sz w:val="20"/>
      <w:szCs w:val="20"/>
    </w:rPr>
  </w:style>
  <w:style w:type="character" w:customStyle="1" w:styleId="CommentTextChar">
    <w:name w:val="Comment Text Char"/>
    <w:basedOn w:val="DefaultParagraphFont"/>
    <w:link w:val="CommentText"/>
    <w:rsid w:val="00BA7923"/>
    <w:rPr>
      <w:rFonts w:ascii="Times New Roman" w:hAnsi="Times New Roman"/>
      <w:sz w:val="20"/>
      <w:szCs w:val="20"/>
    </w:rPr>
  </w:style>
  <w:style w:type="paragraph" w:styleId="CommentSubject">
    <w:name w:val="annotation subject"/>
    <w:basedOn w:val="CommentText"/>
    <w:next w:val="CommentText"/>
    <w:link w:val="CommentSubjectChar"/>
    <w:semiHidden/>
    <w:unhideWhenUsed/>
    <w:rsid w:val="00BA7923"/>
    <w:rPr>
      <w:b/>
      <w:bCs/>
    </w:rPr>
  </w:style>
  <w:style w:type="character" w:customStyle="1" w:styleId="CommentSubjectChar">
    <w:name w:val="Comment Subject Char"/>
    <w:basedOn w:val="CommentTextChar"/>
    <w:link w:val="CommentSubject"/>
    <w:semiHidden/>
    <w:rsid w:val="00BA7923"/>
    <w:rPr>
      <w:rFonts w:ascii="Times New Roman" w:hAnsi="Times New Roman"/>
      <w:b/>
      <w:bCs/>
      <w:sz w:val="20"/>
      <w:szCs w:val="20"/>
    </w:rPr>
  </w:style>
  <w:style w:type="paragraph" w:styleId="BalloonText">
    <w:name w:val="Balloon Text"/>
    <w:basedOn w:val="Normal"/>
    <w:link w:val="BalloonTextChar"/>
    <w:semiHidden/>
    <w:unhideWhenUsed/>
    <w:rsid w:val="00BA792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A7923"/>
    <w:rPr>
      <w:rFonts w:ascii="Segoe UI" w:hAnsi="Segoe UI" w:cs="Segoe UI"/>
      <w:sz w:val="18"/>
      <w:szCs w:val="18"/>
    </w:rPr>
  </w:style>
  <w:style w:type="character" w:styleId="UnresolvedMention">
    <w:name w:val="Unresolved Mention"/>
    <w:basedOn w:val="DefaultParagraphFont"/>
    <w:uiPriority w:val="99"/>
    <w:semiHidden/>
    <w:unhideWhenUsed/>
    <w:rsid w:val="00FA5526"/>
    <w:rPr>
      <w:color w:val="605E5C"/>
      <w:shd w:val="clear" w:color="auto" w:fill="E1DFDD"/>
    </w:rPr>
  </w:style>
  <w:style w:type="paragraph" w:styleId="Revision">
    <w:name w:val="Revision"/>
    <w:hidden/>
    <w:semiHidden/>
    <w:rsid w:val="001D0E47"/>
    <w:pPr>
      <w:spacing w:after="0"/>
    </w:pPr>
    <w:rPr>
      <w:rFonts w:ascii="Times New Roman" w:hAnsi="Times New Roman"/>
    </w:rPr>
  </w:style>
  <w:style w:type="character" w:styleId="FollowedHyperlink">
    <w:name w:val="FollowedHyperlink"/>
    <w:basedOn w:val="DefaultParagraphFont"/>
    <w:semiHidden/>
    <w:unhideWhenUsed/>
    <w:rsid w:val="004545B6"/>
    <w:rPr>
      <w:color w:val="800080" w:themeColor="followedHyperlink"/>
      <w:u w:val="single"/>
    </w:rPr>
  </w:style>
  <w:style w:type="numbering" w:customStyle="1" w:styleId="CurrentList1">
    <w:name w:val="Current List1"/>
    <w:uiPriority w:val="99"/>
    <w:rsid w:val="00000975"/>
    <w:pPr>
      <w:numPr>
        <w:numId w:val="23"/>
      </w:numPr>
    </w:pPr>
  </w:style>
  <w:style w:type="numbering" w:customStyle="1" w:styleId="CurrentList2">
    <w:name w:val="Current List2"/>
    <w:uiPriority w:val="99"/>
    <w:rsid w:val="00000975"/>
    <w:pPr>
      <w:numPr>
        <w:numId w:val="24"/>
      </w:numPr>
    </w:pPr>
  </w:style>
  <w:style w:type="numbering" w:customStyle="1" w:styleId="CurrentList3">
    <w:name w:val="Current List3"/>
    <w:uiPriority w:val="99"/>
    <w:rsid w:val="00BE4023"/>
    <w:pPr>
      <w:numPr>
        <w:numId w:val="25"/>
      </w:numPr>
    </w:pPr>
  </w:style>
  <w:style w:type="numbering" w:customStyle="1" w:styleId="CurrentList4">
    <w:name w:val="Current List4"/>
    <w:uiPriority w:val="99"/>
    <w:rsid w:val="00BE4023"/>
    <w:pPr>
      <w:numPr>
        <w:numId w:val="26"/>
      </w:numPr>
    </w:pPr>
  </w:style>
  <w:style w:type="numbering" w:customStyle="1" w:styleId="CurrentList5">
    <w:name w:val="Current List5"/>
    <w:uiPriority w:val="99"/>
    <w:rsid w:val="00BE4023"/>
    <w:pPr>
      <w:numPr>
        <w:numId w:val="27"/>
      </w:numPr>
    </w:pPr>
  </w:style>
  <w:style w:type="numbering" w:customStyle="1" w:styleId="CurrentList6">
    <w:name w:val="Current List6"/>
    <w:uiPriority w:val="99"/>
    <w:rsid w:val="00BE4023"/>
    <w:pPr>
      <w:numPr>
        <w:numId w:val="28"/>
      </w:numPr>
    </w:pPr>
  </w:style>
  <w:style w:type="numbering" w:customStyle="1" w:styleId="CurrentList7">
    <w:name w:val="Current List7"/>
    <w:uiPriority w:val="99"/>
    <w:rsid w:val="00BE4023"/>
    <w:pPr>
      <w:numPr>
        <w:numId w:val="29"/>
      </w:numPr>
    </w:pPr>
  </w:style>
  <w:style w:type="numbering" w:customStyle="1" w:styleId="CurrentList8">
    <w:name w:val="Current List8"/>
    <w:uiPriority w:val="99"/>
    <w:rsid w:val="002966BC"/>
    <w:pPr>
      <w:numPr>
        <w:numId w:val="31"/>
      </w:numPr>
    </w:pPr>
  </w:style>
  <w:style w:type="numbering" w:customStyle="1" w:styleId="CurrentList9">
    <w:name w:val="Current List9"/>
    <w:uiPriority w:val="99"/>
    <w:rsid w:val="002966BC"/>
    <w:pPr>
      <w:numPr>
        <w:numId w:val="33"/>
      </w:numPr>
    </w:pPr>
  </w:style>
  <w:style w:type="numbering" w:customStyle="1" w:styleId="CurrentList10">
    <w:name w:val="Current List10"/>
    <w:uiPriority w:val="99"/>
    <w:rsid w:val="002966BC"/>
    <w:pPr>
      <w:numPr>
        <w:numId w:val="34"/>
      </w:numPr>
    </w:pPr>
  </w:style>
  <w:style w:type="numbering" w:customStyle="1" w:styleId="CurrentList11">
    <w:name w:val="Current List11"/>
    <w:uiPriority w:val="99"/>
    <w:rsid w:val="002966BC"/>
    <w:pPr>
      <w:numPr>
        <w:numId w:val="35"/>
      </w:numPr>
    </w:pPr>
  </w:style>
  <w:style w:type="numbering" w:customStyle="1" w:styleId="CurrentList12">
    <w:name w:val="Current List12"/>
    <w:uiPriority w:val="99"/>
    <w:rsid w:val="009B35C4"/>
    <w:pPr>
      <w:numPr>
        <w:numId w:val="36"/>
      </w:numPr>
    </w:pPr>
  </w:style>
  <w:style w:type="character" w:styleId="Emphasis">
    <w:name w:val="Emphasis"/>
    <w:basedOn w:val="DefaultParagraphFont"/>
    <w:uiPriority w:val="20"/>
    <w:qFormat/>
    <w:rsid w:val="00B852DD"/>
    <w:rPr>
      <w:i/>
      <w:iCs/>
    </w:rPr>
  </w:style>
  <w:style w:type="numbering" w:customStyle="1" w:styleId="CurrentList13">
    <w:name w:val="Current List13"/>
    <w:uiPriority w:val="99"/>
    <w:rsid w:val="000E21EC"/>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85619">
      <w:bodyDiv w:val="1"/>
      <w:marLeft w:val="0"/>
      <w:marRight w:val="0"/>
      <w:marTop w:val="0"/>
      <w:marBottom w:val="0"/>
      <w:divBdr>
        <w:top w:val="none" w:sz="0" w:space="0" w:color="auto"/>
        <w:left w:val="none" w:sz="0" w:space="0" w:color="auto"/>
        <w:bottom w:val="none" w:sz="0" w:space="0" w:color="auto"/>
        <w:right w:val="none" w:sz="0" w:space="0" w:color="auto"/>
      </w:divBdr>
    </w:div>
    <w:div w:id="844898350">
      <w:bodyDiv w:val="1"/>
      <w:marLeft w:val="0"/>
      <w:marRight w:val="0"/>
      <w:marTop w:val="0"/>
      <w:marBottom w:val="0"/>
      <w:divBdr>
        <w:top w:val="none" w:sz="0" w:space="0" w:color="auto"/>
        <w:left w:val="none" w:sz="0" w:space="0" w:color="auto"/>
        <w:bottom w:val="none" w:sz="0" w:space="0" w:color="auto"/>
        <w:right w:val="none" w:sz="0" w:space="0" w:color="auto"/>
      </w:divBdr>
    </w:div>
    <w:div w:id="1235973284">
      <w:bodyDiv w:val="1"/>
      <w:marLeft w:val="0"/>
      <w:marRight w:val="0"/>
      <w:marTop w:val="0"/>
      <w:marBottom w:val="0"/>
      <w:divBdr>
        <w:top w:val="none" w:sz="0" w:space="0" w:color="auto"/>
        <w:left w:val="none" w:sz="0" w:space="0" w:color="auto"/>
        <w:bottom w:val="none" w:sz="0" w:space="0" w:color="auto"/>
        <w:right w:val="none" w:sz="0" w:space="0" w:color="auto"/>
      </w:divBdr>
    </w:div>
    <w:div w:id="1559245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7/00007632-200012150-00014" TargetMode="External"/><Relationship Id="rId18" Type="http://schemas.openxmlformats.org/officeDocument/2006/relationships/hyperlink" Target="https://doi.org/10.1080/02640414.2020.1715181" TargetMode="External"/><Relationship Id="rId26" Type="http://schemas.openxmlformats.org/officeDocument/2006/relationships/hyperlink" Target="https://doi.org/10.5935/1984-0063.20180046" TargetMode="External"/><Relationship Id="rId21" Type="http://schemas.openxmlformats.org/officeDocument/2006/relationships/hyperlink" Target="https://doi.org/10.3389/fpsyg.2020.588253"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80/10705511.2017.1406803" TargetMode="External"/><Relationship Id="rId17" Type="http://schemas.openxmlformats.org/officeDocument/2006/relationships/hyperlink" Target="https://doi.org/10.1027/1015-5759.23.4.206" TargetMode="External"/><Relationship Id="rId25" Type="http://schemas.openxmlformats.org/officeDocument/2006/relationships/hyperlink" Target="https://doi.org/10.1080/1750984X.2020.1723122"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smr.2017.11.002" TargetMode="External"/><Relationship Id="rId20" Type="http://schemas.openxmlformats.org/officeDocument/2006/relationships/hyperlink" Target="https://doi.org/10.1007/s11517-021-02389-9" TargetMode="External"/><Relationship Id="rId29" Type="http://schemas.openxmlformats.org/officeDocument/2006/relationships/hyperlink" Target="https://www.ijesports.org/article/4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7523907/" TargetMode="External"/><Relationship Id="rId24" Type="http://schemas.openxmlformats.org/officeDocument/2006/relationships/hyperlink" Target="https://doi.org/10.1007/s40279-017-0711-5" TargetMode="External"/><Relationship Id="rId32" Type="http://schemas.openxmlformats.org/officeDocument/2006/relationships/hyperlink" Target="https://doi.org/10.1080/17530350.2020.1788625"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556/2006.8.2019.46" TargetMode="External"/><Relationship Id="rId23" Type="http://schemas.openxmlformats.org/officeDocument/2006/relationships/hyperlink" Target="https://doi.org/10.1152/japplphysiol.91324.2008" TargetMode="External"/><Relationship Id="rId28" Type="http://schemas.openxmlformats.org/officeDocument/2006/relationships/hyperlink" Target="http://nxkc.com.cn/a/xinwen/jiuhetiyuzhuce/2021/0826/794.html" TargetMode="External"/><Relationship Id="rId36" Type="http://schemas.openxmlformats.org/officeDocument/2006/relationships/fontTable" Target="fontTable.xml"/><Relationship Id="rId10" Type="http://schemas.openxmlformats.org/officeDocument/2006/relationships/hyperlink" Target="https://doi.org/10.32598/bcn.9.10.335" TargetMode="External"/><Relationship Id="rId19" Type="http://schemas.openxmlformats.org/officeDocument/2006/relationships/hyperlink" Target="https://doi.org/10.1016/j.smr.2017.07.008" TargetMode="External"/><Relationship Id="rId31" Type="http://schemas.openxmlformats.org/officeDocument/2006/relationships/hyperlink" Target="https://doi.org/10.1111/j.1526-4637.2007.00372.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cogbrainres.2005.04.011" TargetMode="External"/><Relationship Id="rId22" Type="http://schemas.openxmlformats.org/officeDocument/2006/relationships/hyperlink" Target="https://doi.org/10.1556/2006.4.2015.040" TargetMode="External"/><Relationship Id="rId27" Type="http://schemas.openxmlformats.org/officeDocument/2006/relationships/hyperlink" Target="https://www.R-project.org/" TargetMode="External"/><Relationship Id="rId30" Type="http://schemas.openxmlformats.org/officeDocument/2006/relationships/hyperlink" Target="https://doi.org/10.9734/JESBS/2018/39529" TargetMode="External"/><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7EA14-1D09-784C-9039-E9D10BC7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25</Pages>
  <Words>6027</Words>
  <Characters>34360</Characters>
  <Application>Microsoft Office Word</Application>
  <DocSecurity>0</DocSecurity>
  <Lines>286</Lines>
  <Paragraphs>80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Reciprocal effects of esport participation and mental fatigue using dynamic structural equation modeling</vt:lpstr>
      <vt:lpstr>TITLE</vt:lpstr>
    </vt:vector>
  </TitlesOfParts>
  <Manager/>
  <Company/>
  <LinksUpToDate>false</LinksUpToDate>
  <CharactersWithSpaces>40307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Reciprocal effects of esport participation and mental fatigue using dynamic structural equation modeling</dc:title>
  <dc:creator>Jasmin C Hutchinson</dc:creator>
  <cp:keywords/>
  <cp:lastModifiedBy>Yan Luo</cp:lastModifiedBy>
  <cp:revision>270</cp:revision>
  <dcterms:created xsi:type="dcterms:W3CDTF">2021-12-07T23:10:00Z</dcterms:created>
  <dcterms:modified xsi:type="dcterms:W3CDTF">2022-04-19T04:44:00Z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
    <vt:lpwstr/>
  </property>
  <property fmtid="{D5CDD505-2E9C-101B-9397-08002B2CF9AE}" pid="3" name="always_allow_html">
    <vt:lpwstr>yes</vt:lpwstr>
  </property>
  <property fmtid="{D5CDD505-2E9C-101B-9397-08002B2CF9AE}" pid="4" name="authornote">
    <vt:lpwstr>Add complete departmental affiliations for each author here. Each new line herein must be indented, like this line.Enter author note here.</vt:lpwstr>
  </property>
  <property fmtid="{D5CDD505-2E9C-101B-9397-08002B2CF9AE}" pid="5" name="bibliography">
    <vt:lpwstr/>
  </property>
  <property fmtid="{D5CDD505-2E9C-101B-9397-08002B2CF9AE}" pid="6" name="classoption">
    <vt:lpwstr>man</vt:lpwstr>
  </property>
  <property fmtid="{D5CDD505-2E9C-101B-9397-08002B2CF9AE}" pid="7" name="csl">
    <vt:lpwstr>apa7.csl</vt:lpwstr>
  </property>
  <property fmtid="{D5CDD505-2E9C-101B-9397-08002B2CF9AE}" pid="8" name="documentclass">
    <vt:lpwstr>apa6</vt:lpwstr>
  </property>
  <property fmtid="{D5CDD505-2E9C-101B-9397-08002B2CF9AE}" pid="9" name="draft">
    <vt:lpwstr>no</vt:lpwstr>
  </property>
  <property fmtid="{D5CDD505-2E9C-101B-9397-08002B2CF9AE}" pid="10" name="figurelist">
    <vt:lpwstr>no</vt:lpwstr>
  </property>
  <property fmtid="{D5CDD505-2E9C-101B-9397-08002B2CF9AE}" pid="11" name="floatsintext">
    <vt:lpwstr>no</vt:lpwstr>
  </property>
  <property fmtid="{D5CDD505-2E9C-101B-9397-08002B2CF9AE}" pid="12" name="footnotelist">
    <vt:lpwstr>no</vt:lpwstr>
  </property>
  <property fmtid="{D5CDD505-2E9C-101B-9397-08002B2CF9AE}" pid="13" name="header-includes">
    <vt:lpwstr/>
  </property>
  <property fmtid="{D5CDD505-2E9C-101B-9397-08002B2CF9AE}" pid="14" name="linenumbers">
    <vt:lpwstr>yes</vt:lpwstr>
  </property>
  <property fmtid="{D5CDD505-2E9C-101B-9397-08002B2CF9AE}" pid="15" name="mask">
    <vt:lpwstr>no</vt:lpwstr>
  </property>
  <property fmtid="{D5CDD505-2E9C-101B-9397-08002B2CF9AE}" pid="16" name="output">
    <vt:lpwstr/>
  </property>
  <property fmtid="{D5CDD505-2E9C-101B-9397-08002B2CF9AE}" pid="17" name="shorttitle">
    <vt:lpwstr>ESPORT PARTICIPATION AND MF</vt:lpwstr>
  </property>
  <property fmtid="{D5CDD505-2E9C-101B-9397-08002B2CF9AE}" pid="18" name="tablelist">
    <vt:lpwstr>no</vt:lpwstr>
  </property>
  <property fmtid="{D5CDD505-2E9C-101B-9397-08002B2CF9AE}" pid="19" name="whitespace">
    <vt:lpwstr>none</vt:lpwstr>
  </property>
  <property fmtid="{D5CDD505-2E9C-101B-9397-08002B2CF9AE}" pid="20" name="wordcount">
    <vt:lpwstr>X</vt:lpwstr>
  </property>
</Properties>
</file>